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F6C38" w14:textId="4985BC9B" w:rsidR="00B01D14" w:rsidRPr="00F716A6" w:rsidRDefault="00F716A6">
      <w:pPr>
        <w:rPr>
          <w:rFonts w:cs="Arial"/>
        </w:rPr>
      </w:pPr>
      <w:bookmarkStart w:id="0" w:name="_Hlk80363627"/>
      <w:bookmarkStart w:id="1" w:name="_GoBack"/>
      <w:bookmarkEnd w:id="0"/>
      <w:bookmarkEnd w:id="1"/>
      <w:r>
        <w:rPr>
          <w:rFonts w:cs="Arial"/>
          <w:noProof/>
        </w:rPr>
        <w:drawing>
          <wp:anchor distT="0" distB="0" distL="114300" distR="114300" simplePos="0" relativeHeight="251710464" behindDoc="0" locked="0" layoutInCell="1" allowOverlap="1" wp14:anchorId="1F1AA0ED" wp14:editId="490EBDAA">
            <wp:simplePos x="0" y="0"/>
            <wp:positionH relativeFrom="page">
              <wp:align>left</wp:align>
            </wp:positionH>
            <wp:positionV relativeFrom="paragraph">
              <wp:posOffset>-882738</wp:posOffset>
            </wp:positionV>
            <wp:extent cx="7709338" cy="10614660"/>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10D126.tmp"/>
                    <pic:cNvPicPr/>
                  </pic:nvPicPr>
                  <pic:blipFill>
                    <a:blip r:embed="rId8">
                      <a:extLst>
                        <a:ext uri="{28A0092B-C50C-407E-A947-70E740481C1C}">
                          <a14:useLocalDpi xmlns:a14="http://schemas.microsoft.com/office/drawing/2010/main" val="0"/>
                        </a:ext>
                      </a:extLst>
                    </a:blip>
                    <a:stretch>
                      <a:fillRect/>
                    </a:stretch>
                  </pic:blipFill>
                  <pic:spPr>
                    <a:xfrm>
                      <a:off x="0" y="0"/>
                      <a:ext cx="7713876" cy="10620909"/>
                    </a:xfrm>
                    <a:prstGeom prst="rect">
                      <a:avLst/>
                    </a:prstGeom>
                  </pic:spPr>
                </pic:pic>
              </a:graphicData>
            </a:graphic>
            <wp14:sizeRelH relativeFrom="margin">
              <wp14:pctWidth>0</wp14:pctWidth>
            </wp14:sizeRelH>
            <wp14:sizeRelV relativeFrom="margin">
              <wp14:pctHeight>0</wp14:pctHeight>
            </wp14:sizeRelV>
          </wp:anchor>
        </w:drawing>
      </w:r>
    </w:p>
    <w:p w14:paraId="5988B5D0" w14:textId="77777777" w:rsidR="00F716A6" w:rsidRDefault="00F716A6">
      <w:pPr>
        <w:rPr>
          <w:rFonts w:cs="Arial"/>
          <w:b/>
        </w:rPr>
        <w:sectPr w:rsidR="00F716A6" w:rsidSect="00F716A6">
          <w:headerReference w:type="default" r:id="rId9"/>
          <w:footerReference w:type="default" r:id="rId10"/>
          <w:type w:val="continuous"/>
          <w:pgSz w:w="11910" w:h="16840" w:code="9"/>
          <w:pgMar w:top="227" w:right="227" w:bottom="227" w:left="284" w:header="709" w:footer="709" w:gutter="0"/>
          <w:cols w:space="708"/>
          <w:docGrid w:linePitch="360"/>
        </w:sectPr>
      </w:pPr>
    </w:p>
    <w:p w14:paraId="1685BCBF" w14:textId="3597B3B6" w:rsidR="00A84C29" w:rsidRPr="003A31B3" w:rsidRDefault="00CD2D66" w:rsidP="003A31B3">
      <w:pPr>
        <w:pStyle w:val="Heading1"/>
        <w:rPr>
          <w:szCs w:val="72"/>
        </w:rPr>
      </w:pPr>
      <w:bookmarkStart w:id="2" w:name="_Toc80014159"/>
      <w:bookmarkStart w:id="3" w:name="executive-summary"/>
      <w:r>
        <w:rPr>
          <w:noProof/>
        </w:rPr>
        <w:lastRenderedPageBreak/>
        <w:drawing>
          <wp:anchor distT="0" distB="0" distL="114300" distR="114300" simplePos="0" relativeHeight="251712512" behindDoc="0" locked="0" layoutInCell="1" allowOverlap="1" wp14:anchorId="17D62995" wp14:editId="2065D1E2">
            <wp:simplePos x="0" y="0"/>
            <wp:positionH relativeFrom="column">
              <wp:posOffset>-636104</wp:posOffset>
            </wp:positionH>
            <wp:positionV relativeFrom="paragraph">
              <wp:posOffset>-906449</wp:posOffset>
            </wp:positionV>
            <wp:extent cx="7581014" cy="10741571"/>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uncil Plan A3 Summaries incld Covers2.png"/>
                    <pic:cNvPicPr/>
                  </pic:nvPicPr>
                  <pic:blipFill rotWithShape="1">
                    <a:blip r:embed="rId11" cstate="print">
                      <a:extLst>
                        <a:ext uri="{28A0092B-C50C-407E-A947-70E740481C1C}">
                          <a14:useLocalDpi xmlns:a14="http://schemas.microsoft.com/office/drawing/2010/main" val="0"/>
                        </a:ext>
                      </a:extLst>
                    </a:blip>
                    <a:srcRect r="50098"/>
                    <a:stretch/>
                  </pic:blipFill>
                  <pic:spPr bwMode="auto">
                    <a:xfrm>
                      <a:off x="0" y="0"/>
                      <a:ext cx="7581014" cy="10741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C29" w:rsidRPr="003A31B3">
        <w:rPr>
          <w:b w:val="0"/>
          <w:szCs w:val="72"/>
        </w:rPr>
        <w:t>Acknowledge</w:t>
      </w:r>
      <w:r w:rsidR="00A84C29" w:rsidRPr="003A31B3">
        <w:rPr>
          <w:rStyle w:val="Heading1Char"/>
          <w:rFonts w:cs="Arial"/>
          <w:szCs w:val="72"/>
        </w:rPr>
        <w:t>ment</w:t>
      </w:r>
      <w:r w:rsidR="00DA7301" w:rsidRPr="003A31B3">
        <w:rPr>
          <w:rStyle w:val="Heading1Char"/>
          <w:rFonts w:cs="Arial"/>
          <w:szCs w:val="72"/>
        </w:rPr>
        <w:t xml:space="preserve"> of </w:t>
      </w:r>
      <w:r w:rsidR="00C918A0">
        <w:rPr>
          <w:rStyle w:val="Heading1Char"/>
          <w:rFonts w:cs="Arial"/>
          <w:szCs w:val="72"/>
        </w:rPr>
        <w:t>C</w:t>
      </w:r>
      <w:r w:rsidR="00DA7301" w:rsidRPr="003A31B3">
        <w:rPr>
          <w:rStyle w:val="Heading1Char"/>
          <w:rFonts w:cs="Arial"/>
          <w:szCs w:val="72"/>
        </w:rPr>
        <w:t>ountry</w:t>
      </w:r>
      <w:bookmarkEnd w:id="2"/>
    </w:p>
    <w:p w14:paraId="23A6B2F2" w14:textId="77777777" w:rsidR="003A31B3" w:rsidRDefault="003A31B3" w:rsidP="006F6219">
      <w:pPr>
        <w:rPr>
          <w:rFonts w:cs="Arial"/>
        </w:rPr>
      </w:pPr>
    </w:p>
    <w:p w14:paraId="4D2BB34C" w14:textId="77777777" w:rsidR="00B561D5" w:rsidRPr="00B2525C" w:rsidRDefault="00E37EA5" w:rsidP="006F6219">
      <w:pPr>
        <w:rPr>
          <w:rFonts w:cs="Arial"/>
        </w:rPr>
      </w:pPr>
      <w:r w:rsidRPr="00B2525C">
        <w:rPr>
          <w:rFonts w:cs="Arial"/>
        </w:rPr>
        <w:t>Moonee Valley City Council</w:t>
      </w:r>
      <w:r w:rsidR="00B561D5" w:rsidRPr="00B2525C">
        <w:rPr>
          <w:rFonts w:cs="Arial"/>
        </w:rPr>
        <w:t xml:space="preserve"> respectfully acknowledges the Traditional Custodians of the land on which Moonee Valley is located – the Wurundjeri </w:t>
      </w:r>
      <w:proofErr w:type="spellStart"/>
      <w:r w:rsidR="00B561D5" w:rsidRPr="00B2525C">
        <w:rPr>
          <w:rFonts w:cs="Arial"/>
        </w:rPr>
        <w:t>Woi</w:t>
      </w:r>
      <w:proofErr w:type="spellEnd"/>
      <w:r w:rsidR="00B561D5" w:rsidRPr="00B2525C">
        <w:rPr>
          <w:rFonts w:cs="Arial"/>
        </w:rPr>
        <w:t>-wurrung People of the Kulin Nation; and we pay our respects to their Spirits, Ancestors, Elders and Community Members past and present. Council also extends this respect to other Aboriginal and Torres Strait Islander Peoples who call Moonee Valley home.</w:t>
      </w:r>
    </w:p>
    <w:p w14:paraId="208A4C18" w14:textId="77777777" w:rsidR="001601E9" w:rsidRPr="00B2525C" w:rsidRDefault="001601E9" w:rsidP="006F6219">
      <w:pPr>
        <w:rPr>
          <w:rFonts w:cs="Arial"/>
        </w:rPr>
      </w:pPr>
    </w:p>
    <w:p w14:paraId="37C86304" w14:textId="2BE07A41" w:rsidR="00A84C29" w:rsidRPr="00B2525C" w:rsidRDefault="00E969B9" w:rsidP="006F6219">
      <w:pPr>
        <w:rPr>
          <w:rFonts w:cs="Arial"/>
        </w:rPr>
      </w:pPr>
      <w:r>
        <w:rPr>
          <w:rFonts w:cs="Arial"/>
        </w:rPr>
        <w:t xml:space="preserve">August </w:t>
      </w:r>
      <w:r w:rsidR="00A84C29" w:rsidRPr="00B2525C">
        <w:rPr>
          <w:rFonts w:cs="Arial"/>
        </w:rPr>
        <w:t>202</w:t>
      </w:r>
      <w:r w:rsidR="00627C73" w:rsidRPr="00B2525C">
        <w:rPr>
          <w:rFonts w:cs="Arial"/>
        </w:rPr>
        <w:t>1</w:t>
      </w:r>
    </w:p>
    <w:p w14:paraId="1D8B5E9B" w14:textId="77777777" w:rsidR="00A84C29" w:rsidRPr="00B2525C" w:rsidRDefault="00A84C29" w:rsidP="00A84C29">
      <w:pPr>
        <w:rPr>
          <w:rFonts w:cs="Arial"/>
        </w:rPr>
      </w:pPr>
      <w:r w:rsidRPr="00B2525C">
        <w:rPr>
          <w:rFonts w:cs="Arial"/>
        </w:rPr>
        <w:br w:type="page"/>
      </w:r>
    </w:p>
    <w:p w14:paraId="3CA6F4A0" w14:textId="77777777" w:rsidR="00E969B9" w:rsidRPr="00562EF2" w:rsidRDefault="00E969B9" w:rsidP="00562EF2">
      <w:pPr>
        <w:pStyle w:val="Heading2"/>
        <w:sectPr w:rsidR="00E969B9" w:rsidRPr="00562EF2" w:rsidSect="00E969B9">
          <w:pgSz w:w="11910" w:h="16840" w:code="9"/>
          <w:pgMar w:top="1440" w:right="1080" w:bottom="1440" w:left="1080" w:header="708" w:footer="708" w:gutter="0"/>
          <w:pgNumType w:fmt="lowerRoman" w:start="1"/>
          <w:cols w:space="708"/>
          <w:docGrid w:linePitch="360"/>
        </w:sectPr>
      </w:pPr>
    </w:p>
    <w:p w14:paraId="60A366FE" w14:textId="57E70C18" w:rsidR="00116EE0" w:rsidRDefault="00CD2D66" w:rsidP="00116EE0">
      <w:pPr>
        <w:pStyle w:val="Heading1"/>
      </w:pPr>
      <w:bookmarkStart w:id="4" w:name="_Toc80014160"/>
      <w:r>
        <w:rPr>
          <w:rFonts w:cs="Circular Std Book"/>
          <w:noProof/>
          <w:color w:val="1D4158"/>
          <w:szCs w:val="80"/>
          <w:lang w:val="en-GB"/>
        </w:rPr>
        <w:lastRenderedPageBreak/>
        <w:drawing>
          <wp:anchor distT="0" distB="0" distL="114300" distR="114300" simplePos="0" relativeHeight="251714560" behindDoc="0" locked="0" layoutInCell="1" allowOverlap="1" wp14:anchorId="5F2E7EAE" wp14:editId="2197CB9F">
            <wp:simplePos x="0" y="0"/>
            <wp:positionH relativeFrom="page">
              <wp:posOffset>31531</wp:posOffset>
            </wp:positionH>
            <wp:positionV relativeFrom="paragraph">
              <wp:posOffset>-1008993</wp:posOffset>
            </wp:positionV>
            <wp:extent cx="7533005" cy="10969033"/>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uncil Plan A3 Summaries incld Covers2.png"/>
                    <pic:cNvPicPr/>
                  </pic:nvPicPr>
                  <pic:blipFill rotWithShape="1">
                    <a:blip r:embed="rId11" cstate="print">
                      <a:extLst>
                        <a:ext uri="{28A0092B-C50C-407E-A947-70E740481C1C}">
                          <a14:useLocalDpi xmlns:a14="http://schemas.microsoft.com/office/drawing/2010/main" val="0"/>
                        </a:ext>
                      </a:extLst>
                    </a:blip>
                    <a:srcRect l="50005"/>
                    <a:stretch/>
                  </pic:blipFill>
                  <pic:spPr bwMode="auto">
                    <a:xfrm>
                      <a:off x="0" y="0"/>
                      <a:ext cx="7534366" cy="1097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7B5">
        <w:t>C</w:t>
      </w:r>
      <w:bookmarkEnd w:id="4"/>
    </w:p>
    <w:p w14:paraId="0BAAD710" w14:textId="6EDFA215" w:rsidR="002077B5" w:rsidRDefault="002077B5" w:rsidP="00562EF2">
      <w:pPr>
        <w:pStyle w:val="Heading1"/>
        <w:sectPr w:rsidR="002077B5" w:rsidSect="00E969B9">
          <w:pgSz w:w="11910" w:h="16840" w:code="9"/>
          <w:pgMar w:top="1440" w:right="1080" w:bottom="1440" w:left="1080" w:header="708" w:footer="708" w:gutter="0"/>
          <w:pgNumType w:start="1"/>
          <w:cols w:space="708"/>
          <w:docGrid w:linePitch="360"/>
        </w:sectPr>
      </w:pPr>
    </w:p>
    <w:p w14:paraId="2E1134A0" w14:textId="7B363D9C" w:rsidR="002607B0" w:rsidRPr="00CD2D66" w:rsidRDefault="00B01D14" w:rsidP="00CD2D66">
      <w:pPr>
        <w:pStyle w:val="Heading1"/>
      </w:pPr>
      <w:bookmarkStart w:id="5" w:name="_Toc80014161"/>
      <w:r w:rsidRPr="00CD2D66">
        <w:lastRenderedPageBreak/>
        <w:t xml:space="preserve">Executive </w:t>
      </w:r>
      <w:r w:rsidR="007D0646" w:rsidRPr="00CD2D66">
        <w:t>s</w:t>
      </w:r>
      <w:r w:rsidRPr="00CD2D66">
        <w:t>ummary</w:t>
      </w:r>
      <w:bookmarkEnd w:id="3"/>
      <w:bookmarkEnd w:id="5"/>
    </w:p>
    <w:p w14:paraId="651CA1DC" w14:textId="77777777" w:rsidR="002607B0" w:rsidRDefault="002607B0" w:rsidP="001D099F">
      <w:pPr>
        <w:rPr>
          <w:rFonts w:cs="Arial"/>
        </w:rPr>
      </w:pPr>
    </w:p>
    <w:p w14:paraId="167A568E" w14:textId="5C2F4903" w:rsidR="00B94E8B" w:rsidRDefault="00B94E8B" w:rsidP="001D099F">
      <w:pPr>
        <w:rPr>
          <w:rFonts w:cs="Arial"/>
        </w:rPr>
      </w:pPr>
      <w:r w:rsidRPr="00B2525C">
        <w:rPr>
          <w:rFonts w:cs="Arial"/>
        </w:rPr>
        <w:t xml:space="preserve">The Moonee Valley Health and Wellbeing Profile </w:t>
      </w:r>
      <w:r w:rsidR="00BB2E94" w:rsidRPr="00B2525C">
        <w:rPr>
          <w:rFonts w:cs="Arial"/>
        </w:rPr>
        <w:t>2021</w:t>
      </w:r>
      <w:r w:rsidR="002A464B" w:rsidRPr="00B2525C">
        <w:rPr>
          <w:rFonts w:cs="Arial"/>
        </w:rPr>
        <w:t xml:space="preserve"> </w:t>
      </w:r>
      <w:r w:rsidRPr="00B2525C">
        <w:rPr>
          <w:rFonts w:cs="Arial"/>
        </w:rPr>
        <w:t xml:space="preserve">is an examination of data in relation to </w:t>
      </w:r>
      <w:r w:rsidR="002145A7" w:rsidRPr="00B2525C">
        <w:rPr>
          <w:rFonts w:cs="Arial"/>
        </w:rPr>
        <w:t>individual</w:t>
      </w:r>
      <w:r w:rsidR="00266258" w:rsidRPr="00B2525C">
        <w:rPr>
          <w:rFonts w:cs="Arial"/>
        </w:rPr>
        <w:t>, economic, social,</w:t>
      </w:r>
      <w:r w:rsidR="002145A7" w:rsidRPr="00B2525C">
        <w:rPr>
          <w:rFonts w:cs="Arial"/>
        </w:rPr>
        <w:t xml:space="preserve"> neighbourhood</w:t>
      </w:r>
      <w:r w:rsidR="00266258" w:rsidRPr="00B2525C">
        <w:rPr>
          <w:rFonts w:cs="Arial"/>
        </w:rPr>
        <w:t xml:space="preserve"> and environmental</w:t>
      </w:r>
      <w:r w:rsidR="002145A7" w:rsidRPr="00B2525C">
        <w:rPr>
          <w:rFonts w:cs="Arial"/>
        </w:rPr>
        <w:t xml:space="preserve"> factors</w:t>
      </w:r>
      <w:r w:rsidR="00DA2278">
        <w:rPr>
          <w:rFonts w:cs="Arial"/>
        </w:rPr>
        <w:t xml:space="preserve"> that influence health and wellbeing</w:t>
      </w:r>
      <w:r w:rsidR="002A464B" w:rsidRPr="00B2525C">
        <w:rPr>
          <w:rFonts w:cs="Arial"/>
        </w:rPr>
        <w:t xml:space="preserve">. These factors are </w:t>
      </w:r>
      <w:r w:rsidR="002145A7" w:rsidRPr="00B2525C">
        <w:rPr>
          <w:rFonts w:cs="Arial"/>
        </w:rPr>
        <w:t xml:space="preserve">known as </w:t>
      </w:r>
      <w:r w:rsidRPr="00B2525C">
        <w:rPr>
          <w:rFonts w:cs="Arial"/>
        </w:rPr>
        <w:t>determinants</w:t>
      </w:r>
      <w:r w:rsidR="002145A7" w:rsidRPr="00B2525C">
        <w:rPr>
          <w:rFonts w:cs="Arial"/>
        </w:rPr>
        <w:t xml:space="preserve"> of health</w:t>
      </w:r>
      <w:r w:rsidRPr="00B2525C">
        <w:rPr>
          <w:rFonts w:cs="Arial"/>
        </w:rPr>
        <w:t xml:space="preserve">. </w:t>
      </w:r>
    </w:p>
    <w:p w14:paraId="1D10EEB4" w14:textId="77777777" w:rsidR="007B415D" w:rsidRPr="00B2525C" w:rsidRDefault="007B415D" w:rsidP="001D099F">
      <w:pPr>
        <w:rPr>
          <w:rFonts w:cs="Arial"/>
        </w:rPr>
      </w:pPr>
    </w:p>
    <w:p w14:paraId="6E57530F" w14:textId="2DA23779" w:rsidR="00870D05" w:rsidRDefault="00B94E8B" w:rsidP="004A7F6B">
      <w:pPr>
        <w:rPr>
          <w:rFonts w:cs="Arial"/>
        </w:rPr>
      </w:pPr>
      <w:r w:rsidRPr="00B2525C">
        <w:rPr>
          <w:rFonts w:cs="Arial"/>
        </w:rPr>
        <w:t>The City of Moonee Valley is a relatively advantaged municipality</w:t>
      </w:r>
      <w:r w:rsidR="00DA2278">
        <w:rPr>
          <w:rFonts w:cs="Arial"/>
        </w:rPr>
        <w:t xml:space="preserve">. </w:t>
      </w:r>
      <w:r w:rsidR="001D099F" w:rsidRPr="00B2525C">
        <w:rPr>
          <w:rFonts w:cs="Arial"/>
        </w:rPr>
        <w:t xml:space="preserve">However, it should be noted that </w:t>
      </w:r>
      <w:r w:rsidR="00E37EA5" w:rsidRPr="00B2525C">
        <w:rPr>
          <w:rFonts w:cs="Arial"/>
        </w:rPr>
        <w:t xml:space="preserve">Moonee Valley </w:t>
      </w:r>
      <w:r w:rsidRPr="00B2525C">
        <w:rPr>
          <w:rFonts w:cs="Arial"/>
        </w:rPr>
        <w:t xml:space="preserve">has sub-municipal levels of disadvantage, </w:t>
      </w:r>
      <w:r w:rsidR="002145A7" w:rsidRPr="00B2525C">
        <w:rPr>
          <w:rFonts w:cs="Arial"/>
        </w:rPr>
        <w:t>which means that</w:t>
      </w:r>
      <w:r w:rsidRPr="00B2525C">
        <w:rPr>
          <w:rFonts w:cs="Arial"/>
        </w:rPr>
        <w:t xml:space="preserve"> </w:t>
      </w:r>
      <w:r w:rsidR="002145A7" w:rsidRPr="00B2525C">
        <w:rPr>
          <w:rFonts w:cs="Arial"/>
        </w:rPr>
        <w:t xml:space="preserve">not </w:t>
      </w:r>
      <w:r w:rsidRPr="00B2525C">
        <w:rPr>
          <w:rFonts w:cs="Arial"/>
        </w:rPr>
        <w:t>all residents experience positive health outcomes</w:t>
      </w:r>
      <w:r w:rsidR="00DA2278">
        <w:rPr>
          <w:rFonts w:cs="Arial"/>
        </w:rPr>
        <w:t xml:space="preserve"> </w:t>
      </w:r>
      <w:r w:rsidRPr="00B2525C">
        <w:rPr>
          <w:rFonts w:cs="Arial"/>
        </w:rPr>
        <w:t>equally.</w:t>
      </w:r>
      <w:r w:rsidR="00B95630" w:rsidRPr="00B2525C">
        <w:rPr>
          <w:rFonts w:cs="Arial"/>
        </w:rPr>
        <w:t xml:space="preserve"> This is referred to as health inequity.</w:t>
      </w:r>
    </w:p>
    <w:p w14:paraId="4336ECC1" w14:textId="77777777" w:rsidR="007B415D" w:rsidRPr="00B2525C" w:rsidRDefault="007B415D" w:rsidP="004A7F6B">
      <w:pPr>
        <w:rPr>
          <w:rFonts w:cs="Arial"/>
        </w:rPr>
      </w:pPr>
    </w:p>
    <w:p w14:paraId="271A5F9C" w14:textId="2D25931D" w:rsidR="003910F6" w:rsidRDefault="002A464B" w:rsidP="00AE0BD9">
      <w:pPr>
        <w:rPr>
          <w:rFonts w:cs="Arial"/>
        </w:rPr>
      </w:pPr>
      <w:r w:rsidRPr="00B2525C">
        <w:rPr>
          <w:rFonts w:cs="Arial"/>
        </w:rPr>
        <w:t>Moonee Valley</w:t>
      </w:r>
      <w:r w:rsidR="009D1C80" w:rsidRPr="00B2525C">
        <w:rPr>
          <w:rFonts w:cs="Arial"/>
        </w:rPr>
        <w:t xml:space="preserve"> will continue to diversify and experience </w:t>
      </w:r>
      <w:r w:rsidRPr="00B2525C">
        <w:rPr>
          <w:rFonts w:cs="Arial"/>
        </w:rPr>
        <w:t xml:space="preserve">a range of </w:t>
      </w:r>
      <w:r w:rsidR="009D1C80" w:rsidRPr="00B2525C">
        <w:rPr>
          <w:rFonts w:cs="Arial"/>
        </w:rPr>
        <w:t>challenges</w:t>
      </w:r>
      <w:r w:rsidRPr="00B2525C">
        <w:rPr>
          <w:rFonts w:cs="Arial"/>
        </w:rPr>
        <w:t xml:space="preserve"> </w:t>
      </w:r>
      <w:r w:rsidR="00DA2278">
        <w:rPr>
          <w:rFonts w:cs="Arial"/>
        </w:rPr>
        <w:t xml:space="preserve">and opportunities </w:t>
      </w:r>
      <w:r w:rsidRPr="00B2525C">
        <w:rPr>
          <w:rFonts w:cs="Arial"/>
        </w:rPr>
        <w:t>that impact on the health and wellbeing of its residents,</w:t>
      </w:r>
      <w:r w:rsidR="009D1C80" w:rsidRPr="00B2525C">
        <w:rPr>
          <w:rFonts w:cs="Arial"/>
        </w:rPr>
        <w:t xml:space="preserve"> </w:t>
      </w:r>
      <w:r w:rsidRPr="00B2525C">
        <w:rPr>
          <w:rFonts w:cs="Arial"/>
        </w:rPr>
        <w:t>including recovery from the COVID-19</w:t>
      </w:r>
      <w:r w:rsidR="009D1C80" w:rsidRPr="00B2525C">
        <w:rPr>
          <w:rFonts w:cs="Arial"/>
        </w:rPr>
        <w:t xml:space="preserve"> pandemic, increases in the cost of living, access to affordable housing</w:t>
      </w:r>
      <w:r w:rsidR="00870D05" w:rsidRPr="00B2525C">
        <w:rPr>
          <w:rFonts w:cs="Arial"/>
        </w:rPr>
        <w:t xml:space="preserve">, a growing and ageing population, increases in non-communicable diseases </w:t>
      </w:r>
      <w:r w:rsidR="002145A7" w:rsidRPr="00B2525C">
        <w:rPr>
          <w:rFonts w:cs="Arial"/>
        </w:rPr>
        <w:t>(</w:t>
      </w:r>
      <w:r w:rsidR="00870D05" w:rsidRPr="00B2525C">
        <w:rPr>
          <w:rFonts w:cs="Arial"/>
        </w:rPr>
        <w:t>such as depression</w:t>
      </w:r>
      <w:r w:rsidR="002145A7" w:rsidRPr="00B2525C">
        <w:rPr>
          <w:rFonts w:cs="Arial"/>
        </w:rPr>
        <w:t xml:space="preserve"> and Alzheimer’s disease),</w:t>
      </w:r>
      <w:r w:rsidR="009D1C80" w:rsidRPr="00B2525C">
        <w:rPr>
          <w:rFonts w:cs="Arial"/>
        </w:rPr>
        <w:t xml:space="preserve"> and climate change impacts.</w:t>
      </w:r>
      <w:r w:rsidR="001D099F" w:rsidRPr="00B2525C">
        <w:rPr>
          <w:rFonts w:cs="Arial"/>
        </w:rPr>
        <w:t xml:space="preserve"> </w:t>
      </w:r>
      <w:r w:rsidR="00F61477" w:rsidRPr="00B2525C">
        <w:rPr>
          <w:rFonts w:cs="Arial"/>
        </w:rPr>
        <w:t xml:space="preserve">Many of the challenges in improving health and reducing inequalities </w:t>
      </w:r>
      <w:r w:rsidR="004329C3" w:rsidRPr="00B2525C">
        <w:rPr>
          <w:rFonts w:cs="Arial"/>
        </w:rPr>
        <w:t xml:space="preserve">while balancing pandemic recovery </w:t>
      </w:r>
      <w:r w:rsidR="00DA2278">
        <w:rPr>
          <w:rFonts w:cs="Arial"/>
        </w:rPr>
        <w:t xml:space="preserve">efforts </w:t>
      </w:r>
      <w:r w:rsidR="00F61477" w:rsidRPr="00B2525C">
        <w:rPr>
          <w:rFonts w:cs="Arial"/>
        </w:rPr>
        <w:t>are common across Victoria. These challenges call for new</w:t>
      </w:r>
      <w:r w:rsidR="00DA2278">
        <w:rPr>
          <w:rFonts w:cs="Arial"/>
        </w:rPr>
        <w:t xml:space="preserve"> and </w:t>
      </w:r>
      <w:r w:rsidR="00F61477" w:rsidRPr="00B2525C">
        <w:rPr>
          <w:rFonts w:cs="Arial"/>
        </w:rPr>
        <w:t xml:space="preserve">innovative approaches to ensure </w:t>
      </w:r>
      <w:r w:rsidR="00DA2278">
        <w:rPr>
          <w:rFonts w:cs="Arial"/>
        </w:rPr>
        <w:t>good health and</w:t>
      </w:r>
      <w:r w:rsidR="00F61477" w:rsidRPr="00B2525C">
        <w:rPr>
          <w:rFonts w:cs="Arial"/>
        </w:rPr>
        <w:t xml:space="preserve"> wellbeing</w:t>
      </w:r>
      <w:r w:rsidR="00DA2278">
        <w:rPr>
          <w:rFonts w:cs="Arial"/>
        </w:rPr>
        <w:t xml:space="preserve"> </w:t>
      </w:r>
      <w:r w:rsidR="00F61477" w:rsidRPr="00B2525C">
        <w:rPr>
          <w:rFonts w:cs="Arial"/>
        </w:rPr>
        <w:t>for those who live, work, learn and play in Moonee Valley.</w:t>
      </w:r>
    </w:p>
    <w:p w14:paraId="158981B3" w14:textId="77777777" w:rsidR="007B415D" w:rsidRPr="00B2525C" w:rsidRDefault="007B415D" w:rsidP="00AE0BD9">
      <w:pPr>
        <w:rPr>
          <w:rFonts w:cs="Arial"/>
        </w:rPr>
      </w:pPr>
    </w:p>
    <w:p w14:paraId="39D2B292" w14:textId="6B4EAC8B" w:rsidR="005E7AA2" w:rsidRPr="00B2525C" w:rsidRDefault="003910F6" w:rsidP="00811565">
      <w:pPr>
        <w:spacing w:after="120"/>
        <w:rPr>
          <w:rFonts w:cs="Arial"/>
        </w:rPr>
      </w:pPr>
      <w:r w:rsidRPr="00B2525C">
        <w:rPr>
          <w:rFonts w:cs="Arial"/>
        </w:rPr>
        <w:t>Guided by</w:t>
      </w:r>
      <w:r w:rsidR="00AE66F5" w:rsidRPr="00B2525C">
        <w:rPr>
          <w:rFonts w:cs="Arial"/>
        </w:rPr>
        <w:t xml:space="preserve"> </w:t>
      </w:r>
      <w:r w:rsidR="00FC78B9" w:rsidRPr="00B2525C">
        <w:rPr>
          <w:rFonts w:cs="Arial"/>
        </w:rPr>
        <w:t xml:space="preserve">the </w:t>
      </w:r>
      <w:r w:rsidR="00A878D8">
        <w:rPr>
          <w:rFonts w:cs="Arial"/>
        </w:rPr>
        <w:t>Social D</w:t>
      </w:r>
      <w:r w:rsidR="00266258" w:rsidRPr="00B2525C">
        <w:rPr>
          <w:rFonts w:cs="Arial"/>
        </w:rPr>
        <w:t>eterminants</w:t>
      </w:r>
      <w:r w:rsidR="00FC78B9" w:rsidRPr="00B2525C">
        <w:rPr>
          <w:rFonts w:cs="Arial"/>
        </w:rPr>
        <w:t xml:space="preserve"> of </w:t>
      </w:r>
      <w:r w:rsidR="00A878D8">
        <w:rPr>
          <w:rFonts w:cs="Arial"/>
        </w:rPr>
        <w:t>H</w:t>
      </w:r>
      <w:r w:rsidR="00FC78B9" w:rsidRPr="00B2525C">
        <w:rPr>
          <w:rFonts w:cs="Arial"/>
        </w:rPr>
        <w:t>ealth</w:t>
      </w:r>
      <w:r w:rsidR="00A878D8">
        <w:rPr>
          <w:rFonts w:cs="Arial"/>
        </w:rPr>
        <w:t xml:space="preserve"> Framework</w:t>
      </w:r>
      <w:r w:rsidR="00FC78B9" w:rsidRPr="00B2525C">
        <w:rPr>
          <w:rFonts w:cs="Arial"/>
        </w:rPr>
        <w:t xml:space="preserve"> (</w:t>
      </w:r>
      <w:r w:rsidR="00811565" w:rsidRPr="00B2525C">
        <w:rPr>
          <w:rFonts w:cs="Arial"/>
        </w:rPr>
        <w:t>socio-ecological framework</w:t>
      </w:r>
      <w:r w:rsidR="00FC78B9" w:rsidRPr="00B2525C">
        <w:rPr>
          <w:rFonts w:cs="Arial"/>
        </w:rPr>
        <w:t>)</w:t>
      </w:r>
      <w:r w:rsidR="00811565" w:rsidRPr="00B2525C">
        <w:rPr>
          <w:rFonts w:cs="Arial"/>
        </w:rPr>
        <w:t xml:space="preserve"> t</w:t>
      </w:r>
      <w:r w:rsidR="00F61477" w:rsidRPr="00B2525C">
        <w:rPr>
          <w:rFonts w:cs="Arial"/>
        </w:rPr>
        <w:t>h</w:t>
      </w:r>
      <w:r w:rsidR="002A464B" w:rsidRPr="00B2525C">
        <w:rPr>
          <w:rFonts w:cs="Arial"/>
        </w:rPr>
        <w:t>is</w:t>
      </w:r>
      <w:r w:rsidR="00F61477" w:rsidRPr="00B2525C">
        <w:rPr>
          <w:rFonts w:cs="Arial"/>
        </w:rPr>
        <w:t xml:space="preserve"> </w:t>
      </w:r>
      <w:r w:rsidR="000052A8">
        <w:rPr>
          <w:rFonts w:cs="Arial"/>
        </w:rPr>
        <w:t>p</w:t>
      </w:r>
      <w:r w:rsidR="00F61477" w:rsidRPr="00B2525C">
        <w:rPr>
          <w:rFonts w:cs="Arial"/>
        </w:rPr>
        <w:t>rofile</w:t>
      </w:r>
      <w:r w:rsidR="00F61477" w:rsidRPr="00B2525C">
        <w:rPr>
          <w:rFonts w:cs="Arial"/>
          <w:i/>
        </w:rPr>
        <w:t xml:space="preserve"> </w:t>
      </w:r>
      <w:r w:rsidR="00F61477" w:rsidRPr="00B2525C">
        <w:rPr>
          <w:rFonts w:cs="Arial"/>
        </w:rPr>
        <w:t xml:space="preserve">identifies key considerations for health and wellbeing in Moonee Valley. A summary of </w:t>
      </w:r>
      <w:r w:rsidRPr="00B2525C">
        <w:rPr>
          <w:rFonts w:cs="Arial"/>
        </w:rPr>
        <w:t>demographic</w:t>
      </w:r>
      <w:r w:rsidR="00266258" w:rsidRPr="00B2525C">
        <w:rPr>
          <w:rFonts w:cs="Arial"/>
        </w:rPr>
        <w:t>, soci</w:t>
      </w:r>
      <w:r w:rsidR="0000044D" w:rsidRPr="00B2525C">
        <w:rPr>
          <w:rFonts w:cs="Arial"/>
        </w:rPr>
        <w:t>o-</w:t>
      </w:r>
      <w:r w:rsidR="00A86B9B" w:rsidRPr="00B2525C">
        <w:rPr>
          <w:rFonts w:cs="Arial"/>
        </w:rPr>
        <w:t>economic</w:t>
      </w:r>
      <w:r w:rsidR="00266258" w:rsidRPr="00B2525C">
        <w:rPr>
          <w:rFonts w:cs="Arial"/>
        </w:rPr>
        <w:t>, environmental</w:t>
      </w:r>
      <w:r w:rsidR="00DA2278">
        <w:rPr>
          <w:rFonts w:cs="Arial"/>
        </w:rPr>
        <w:t>,</w:t>
      </w:r>
      <w:r w:rsidRPr="00B2525C">
        <w:rPr>
          <w:rFonts w:cs="Arial"/>
        </w:rPr>
        <w:t xml:space="preserve"> and health and wellbeing findings </w:t>
      </w:r>
      <w:r w:rsidR="00645C51" w:rsidRPr="00B2525C">
        <w:rPr>
          <w:rFonts w:cs="Arial"/>
        </w:rPr>
        <w:t>are</w:t>
      </w:r>
      <w:r w:rsidR="00F61477" w:rsidRPr="00B2525C">
        <w:rPr>
          <w:rFonts w:cs="Arial"/>
        </w:rPr>
        <w:t xml:space="preserve"> included in the </w:t>
      </w:r>
      <w:r w:rsidR="00DA2278">
        <w:rPr>
          <w:rFonts w:cs="Arial"/>
        </w:rPr>
        <w:t>following section</w:t>
      </w:r>
      <w:r w:rsidR="00F61477" w:rsidRPr="00B2525C">
        <w:rPr>
          <w:rFonts w:cs="Arial"/>
        </w:rPr>
        <w:t>.</w:t>
      </w:r>
      <w:r w:rsidR="00AE0BD9" w:rsidRPr="00B2525C">
        <w:rPr>
          <w:rFonts w:cs="Arial"/>
        </w:rPr>
        <w:t xml:space="preserve"> </w:t>
      </w:r>
      <w:r w:rsidR="005E7AA2" w:rsidRPr="00B2525C">
        <w:rPr>
          <w:rFonts w:cs="Arial"/>
        </w:rPr>
        <w:t xml:space="preserve">It is structured </w:t>
      </w:r>
      <w:r w:rsidR="00DA2278" w:rsidRPr="00B2525C">
        <w:rPr>
          <w:rFonts w:cs="Arial"/>
        </w:rPr>
        <w:t>considering</w:t>
      </w:r>
      <w:r w:rsidR="005E7AA2" w:rsidRPr="00B2525C">
        <w:rPr>
          <w:rFonts w:cs="Arial"/>
        </w:rPr>
        <w:t>:</w:t>
      </w:r>
    </w:p>
    <w:p w14:paraId="63196F24" w14:textId="77777777" w:rsidR="005E7AA2" w:rsidRPr="00DA2278" w:rsidRDefault="00FC78B9" w:rsidP="00DA2278">
      <w:pPr>
        <w:pStyle w:val="ListParagraph"/>
        <w:widowControl w:val="0"/>
        <w:numPr>
          <w:ilvl w:val="0"/>
          <w:numId w:val="2"/>
        </w:numPr>
        <w:tabs>
          <w:tab w:val="left" w:pos="2153"/>
          <w:tab w:val="left" w:pos="2154"/>
        </w:tabs>
        <w:autoSpaceDE w:val="0"/>
        <w:autoSpaceDN w:val="0"/>
        <w:spacing w:before="0" w:after="0" w:line="276" w:lineRule="auto"/>
        <w:ind w:left="2154" w:right="1136" w:hanging="357"/>
        <w:contextualSpacing w:val="0"/>
        <w:rPr>
          <w:rFonts w:ascii="Circular Std Book" w:hAnsi="Circular Std Book" w:cs="Circular Std Book"/>
        </w:rPr>
      </w:pPr>
      <w:r w:rsidRPr="00DA2278">
        <w:rPr>
          <w:rFonts w:ascii="Circular Std Book" w:hAnsi="Circular Std Book" w:cs="Circular Std Book"/>
          <w:b/>
        </w:rPr>
        <w:t>Our People</w:t>
      </w:r>
      <w:r w:rsidR="005E7AA2" w:rsidRPr="00DA2278">
        <w:rPr>
          <w:rFonts w:ascii="Circular Std Book" w:hAnsi="Circular Std Book" w:cs="Circular Std Book"/>
          <w:b/>
        </w:rPr>
        <w:t xml:space="preserve"> </w:t>
      </w:r>
    </w:p>
    <w:p w14:paraId="61C9ABB1" w14:textId="77777777" w:rsidR="0000044D" w:rsidRPr="00DA2278" w:rsidRDefault="0000044D" w:rsidP="00DA2278">
      <w:pPr>
        <w:pStyle w:val="ListParagraph"/>
        <w:widowControl w:val="0"/>
        <w:numPr>
          <w:ilvl w:val="0"/>
          <w:numId w:val="2"/>
        </w:numPr>
        <w:tabs>
          <w:tab w:val="left" w:pos="2153"/>
          <w:tab w:val="left" w:pos="2154"/>
        </w:tabs>
        <w:autoSpaceDE w:val="0"/>
        <w:autoSpaceDN w:val="0"/>
        <w:spacing w:before="0" w:after="0" w:line="276" w:lineRule="auto"/>
        <w:ind w:left="2154" w:right="1136" w:hanging="357"/>
        <w:contextualSpacing w:val="0"/>
        <w:rPr>
          <w:rFonts w:ascii="Circular Std Book" w:hAnsi="Circular Std Book" w:cs="Circular Std Book"/>
        </w:rPr>
      </w:pPr>
      <w:r w:rsidRPr="00DA2278">
        <w:rPr>
          <w:rFonts w:ascii="Circular Std Book" w:hAnsi="Circular Std Book" w:cs="Circular Std Book"/>
          <w:b/>
        </w:rPr>
        <w:t>Our individual behaviours for health and wellbeing</w:t>
      </w:r>
    </w:p>
    <w:p w14:paraId="10CC898F" w14:textId="77777777" w:rsidR="0000044D" w:rsidRPr="00DA2278" w:rsidRDefault="0000044D" w:rsidP="00DA2278">
      <w:pPr>
        <w:pStyle w:val="ListParagraph"/>
        <w:widowControl w:val="0"/>
        <w:numPr>
          <w:ilvl w:val="0"/>
          <w:numId w:val="2"/>
        </w:numPr>
        <w:tabs>
          <w:tab w:val="left" w:pos="2153"/>
          <w:tab w:val="left" w:pos="2154"/>
        </w:tabs>
        <w:autoSpaceDE w:val="0"/>
        <w:autoSpaceDN w:val="0"/>
        <w:spacing w:before="0" w:after="0" w:line="276" w:lineRule="auto"/>
        <w:ind w:left="2154" w:right="1136" w:hanging="357"/>
        <w:contextualSpacing w:val="0"/>
        <w:rPr>
          <w:rFonts w:ascii="Circular Std Book" w:hAnsi="Circular Std Book" w:cs="Circular Std Book"/>
        </w:rPr>
      </w:pPr>
      <w:r w:rsidRPr="00DA2278">
        <w:rPr>
          <w:rFonts w:ascii="Circular Std Book" w:hAnsi="Circular Std Book" w:cs="Circular Std Book"/>
          <w:b/>
        </w:rPr>
        <w:t>Living and working conditions</w:t>
      </w:r>
    </w:p>
    <w:p w14:paraId="11C5E7C7" w14:textId="77777777" w:rsidR="008F3C59" w:rsidRPr="00DA2278" w:rsidRDefault="008F3C59" w:rsidP="00DA2278">
      <w:pPr>
        <w:pStyle w:val="ListParagraph"/>
        <w:widowControl w:val="0"/>
        <w:numPr>
          <w:ilvl w:val="0"/>
          <w:numId w:val="2"/>
        </w:numPr>
        <w:tabs>
          <w:tab w:val="left" w:pos="2153"/>
          <w:tab w:val="left" w:pos="2154"/>
        </w:tabs>
        <w:autoSpaceDE w:val="0"/>
        <w:autoSpaceDN w:val="0"/>
        <w:spacing w:before="0" w:after="0" w:line="276" w:lineRule="auto"/>
        <w:ind w:left="2154" w:right="1136" w:hanging="357"/>
        <w:contextualSpacing w:val="0"/>
        <w:rPr>
          <w:rFonts w:ascii="Circular Std Book" w:hAnsi="Circular Std Book" w:cs="Circular Std Book"/>
        </w:rPr>
      </w:pPr>
      <w:r w:rsidRPr="00DA2278">
        <w:rPr>
          <w:rFonts w:ascii="Circular Std Book" w:hAnsi="Circular Std Book" w:cs="Circular Std Book"/>
          <w:b/>
        </w:rPr>
        <w:t xml:space="preserve">Social and </w:t>
      </w:r>
      <w:r w:rsidR="008F00A3" w:rsidRPr="00DA2278">
        <w:rPr>
          <w:rFonts w:ascii="Circular Std Book" w:hAnsi="Circular Std Book" w:cs="Circular Std Book"/>
          <w:b/>
        </w:rPr>
        <w:t>c</w:t>
      </w:r>
      <w:r w:rsidRPr="00DA2278">
        <w:rPr>
          <w:rFonts w:ascii="Circular Std Book" w:hAnsi="Circular Std Book" w:cs="Circular Std Book"/>
          <w:b/>
        </w:rPr>
        <w:t xml:space="preserve">ommunity </w:t>
      </w:r>
      <w:r w:rsidR="008F00A3" w:rsidRPr="00DA2278">
        <w:rPr>
          <w:rFonts w:ascii="Circular Std Book" w:hAnsi="Circular Std Book" w:cs="Circular Std Book"/>
          <w:b/>
        </w:rPr>
        <w:t>n</w:t>
      </w:r>
      <w:r w:rsidRPr="00DA2278">
        <w:rPr>
          <w:rFonts w:ascii="Circular Std Book" w:hAnsi="Circular Std Book" w:cs="Circular Std Book"/>
          <w:b/>
        </w:rPr>
        <w:t>etworks</w:t>
      </w:r>
      <w:r w:rsidR="005E7AA2" w:rsidRPr="00DA2278">
        <w:rPr>
          <w:rFonts w:ascii="Circular Std Book" w:hAnsi="Circular Std Book" w:cs="Circular Std Book"/>
          <w:b/>
        </w:rPr>
        <w:t xml:space="preserve"> </w:t>
      </w:r>
    </w:p>
    <w:p w14:paraId="705972F0" w14:textId="77777777" w:rsidR="005E7AA2" w:rsidRPr="00DA2278" w:rsidRDefault="008F3C59" w:rsidP="00DA2278">
      <w:pPr>
        <w:pStyle w:val="ListParagraph"/>
        <w:widowControl w:val="0"/>
        <w:numPr>
          <w:ilvl w:val="0"/>
          <w:numId w:val="2"/>
        </w:numPr>
        <w:tabs>
          <w:tab w:val="left" w:pos="2153"/>
          <w:tab w:val="left" w:pos="2154"/>
        </w:tabs>
        <w:autoSpaceDE w:val="0"/>
        <w:autoSpaceDN w:val="0"/>
        <w:spacing w:before="0" w:after="0" w:line="276" w:lineRule="auto"/>
        <w:ind w:left="2154" w:right="1136" w:hanging="357"/>
        <w:contextualSpacing w:val="0"/>
        <w:rPr>
          <w:rFonts w:ascii="Circular Std Book" w:hAnsi="Circular Std Book" w:cs="Circular Std Book"/>
          <w:sz w:val="27"/>
        </w:rPr>
      </w:pPr>
      <w:r w:rsidRPr="00DA2278">
        <w:rPr>
          <w:rFonts w:ascii="Circular Std Book" w:hAnsi="Circular Std Book" w:cs="Circular Std Book"/>
          <w:b/>
        </w:rPr>
        <w:t xml:space="preserve">Neighbourhood and </w:t>
      </w:r>
      <w:r w:rsidR="008F00A3" w:rsidRPr="00DA2278">
        <w:rPr>
          <w:rFonts w:ascii="Circular Std Book" w:hAnsi="Circular Std Book" w:cs="Circular Std Book"/>
          <w:b/>
        </w:rPr>
        <w:t>e</w:t>
      </w:r>
      <w:r w:rsidRPr="00DA2278">
        <w:rPr>
          <w:rFonts w:ascii="Circular Std Book" w:hAnsi="Circular Std Book" w:cs="Circular Std Book"/>
          <w:b/>
        </w:rPr>
        <w:t xml:space="preserve">nvironmental </w:t>
      </w:r>
      <w:r w:rsidR="008F00A3" w:rsidRPr="00DA2278">
        <w:rPr>
          <w:rFonts w:ascii="Circular Std Book" w:hAnsi="Circular Std Book" w:cs="Circular Std Book"/>
          <w:b/>
        </w:rPr>
        <w:t>c</w:t>
      </w:r>
      <w:r w:rsidRPr="00DA2278">
        <w:rPr>
          <w:rFonts w:ascii="Circular Std Book" w:hAnsi="Circular Std Book" w:cs="Circular Std Book"/>
          <w:b/>
        </w:rPr>
        <w:t xml:space="preserve">onditions </w:t>
      </w:r>
    </w:p>
    <w:p w14:paraId="329B637D" w14:textId="77777777" w:rsidR="002145A7" w:rsidRPr="00DA2278" w:rsidRDefault="005E7AA2" w:rsidP="00DA2278">
      <w:pPr>
        <w:pStyle w:val="ListParagraph"/>
        <w:widowControl w:val="0"/>
        <w:numPr>
          <w:ilvl w:val="0"/>
          <w:numId w:val="2"/>
        </w:numPr>
        <w:tabs>
          <w:tab w:val="left" w:pos="2153"/>
          <w:tab w:val="left" w:pos="2154"/>
        </w:tabs>
        <w:autoSpaceDE w:val="0"/>
        <w:autoSpaceDN w:val="0"/>
        <w:spacing w:before="0" w:after="0" w:line="276" w:lineRule="auto"/>
        <w:ind w:left="2154" w:right="1134" w:hanging="357"/>
        <w:contextualSpacing w:val="0"/>
        <w:rPr>
          <w:rFonts w:ascii="Circular Std Book" w:hAnsi="Circular Std Book" w:cs="Circular Std Book"/>
        </w:rPr>
      </w:pPr>
      <w:r w:rsidRPr="00DA2278">
        <w:rPr>
          <w:rFonts w:ascii="Circular Std Book" w:hAnsi="Circular Std Book" w:cs="Circular Std Book"/>
          <w:b/>
        </w:rPr>
        <w:t>Health</w:t>
      </w:r>
      <w:r w:rsidR="00266258" w:rsidRPr="00DA2278">
        <w:rPr>
          <w:rFonts w:ascii="Circular Std Book" w:hAnsi="Circular Std Book" w:cs="Circular Std Book"/>
          <w:b/>
        </w:rPr>
        <w:t xml:space="preserve"> </w:t>
      </w:r>
      <w:r w:rsidR="008F3C59" w:rsidRPr="00DA2278">
        <w:rPr>
          <w:rFonts w:ascii="Circular Std Book" w:hAnsi="Circular Std Book" w:cs="Circular Std Book"/>
          <w:b/>
        </w:rPr>
        <w:t xml:space="preserve">and </w:t>
      </w:r>
      <w:r w:rsidR="00266258" w:rsidRPr="00DA2278">
        <w:rPr>
          <w:rFonts w:ascii="Circular Std Book" w:hAnsi="Circular Std Book" w:cs="Circular Std Book"/>
          <w:b/>
        </w:rPr>
        <w:t>wellbeing</w:t>
      </w:r>
      <w:r w:rsidR="008F3C59" w:rsidRPr="00DA2278">
        <w:rPr>
          <w:rFonts w:ascii="Circular Std Book" w:hAnsi="Circular Std Book" w:cs="Circular Std Book"/>
          <w:b/>
        </w:rPr>
        <w:t xml:space="preserve"> outcomes</w:t>
      </w:r>
      <w:r w:rsidRPr="00DA2278">
        <w:rPr>
          <w:rFonts w:ascii="Circular Std Book" w:hAnsi="Circular Std Book" w:cs="Circular Std Book"/>
        </w:rPr>
        <w:t xml:space="preserve"> </w:t>
      </w:r>
    </w:p>
    <w:p w14:paraId="0E448775" w14:textId="77777777" w:rsidR="0000044D" w:rsidRPr="00B2525C" w:rsidRDefault="0000044D" w:rsidP="0000044D">
      <w:pPr>
        <w:widowControl w:val="0"/>
        <w:tabs>
          <w:tab w:val="left" w:pos="2153"/>
          <w:tab w:val="left" w:pos="2154"/>
        </w:tabs>
        <w:autoSpaceDE w:val="0"/>
        <w:autoSpaceDN w:val="0"/>
        <w:spacing w:after="0"/>
        <w:ind w:right="1134"/>
        <w:rPr>
          <w:rFonts w:cs="Arial"/>
        </w:rPr>
      </w:pPr>
    </w:p>
    <w:p w14:paraId="760D4D32" w14:textId="77777777" w:rsidR="0000044D" w:rsidRPr="00B2525C" w:rsidRDefault="0000044D" w:rsidP="0000044D">
      <w:pPr>
        <w:widowControl w:val="0"/>
        <w:tabs>
          <w:tab w:val="left" w:pos="2153"/>
          <w:tab w:val="left" w:pos="2154"/>
        </w:tabs>
        <w:autoSpaceDE w:val="0"/>
        <w:autoSpaceDN w:val="0"/>
        <w:spacing w:after="0"/>
        <w:ind w:right="1134"/>
        <w:rPr>
          <w:rFonts w:cs="Arial"/>
        </w:rPr>
      </w:pPr>
    </w:p>
    <w:p w14:paraId="7757721E" w14:textId="77777777" w:rsidR="0000044D" w:rsidRPr="00B2525C" w:rsidRDefault="0000044D" w:rsidP="0000044D">
      <w:pPr>
        <w:widowControl w:val="0"/>
        <w:tabs>
          <w:tab w:val="left" w:pos="2153"/>
          <w:tab w:val="left" w:pos="2154"/>
        </w:tabs>
        <w:autoSpaceDE w:val="0"/>
        <w:autoSpaceDN w:val="0"/>
        <w:spacing w:after="0"/>
        <w:ind w:right="1134"/>
        <w:rPr>
          <w:rFonts w:cs="Arial"/>
        </w:rPr>
      </w:pPr>
    </w:p>
    <w:p w14:paraId="70C1EBF2" w14:textId="77777777" w:rsidR="0000044D" w:rsidRPr="00B2525C" w:rsidRDefault="0000044D" w:rsidP="0000044D">
      <w:pPr>
        <w:widowControl w:val="0"/>
        <w:tabs>
          <w:tab w:val="left" w:pos="2153"/>
          <w:tab w:val="left" w:pos="2154"/>
        </w:tabs>
        <w:autoSpaceDE w:val="0"/>
        <w:autoSpaceDN w:val="0"/>
        <w:spacing w:after="0"/>
        <w:ind w:right="1134"/>
        <w:rPr>
          <w:rFonts w:cs="Arial"/>
        </w:rPr>
      </w:pPr>
    </w:p>
    <w:p w14:paraId="5A859747" w14:textId="77777777" w:rsidR="0000044D" w:rsidRPr="00B2525C" w:rsidRDefault="00AE0BD9" w:rsidP="0000044D">
      <w:pPr>
        <w:widowControl w:val="0"/>
        <w:tabs>
          <w:tab w:val="left" w:pos="2153"/>
          <w:tab w:val="left" w:pos="2154"/>
        </w:tabs>
        <w:autoSpaceDE w:val="0"/>
        <w:autoSpaceDN w:val="0"/>
        <w:spacing w:after="0"/>
        <w:ind w:right="1134"/>
        <w:rPr>
          <w:rFonts w:cs="Arial"/>
        </w:rPr>
      </w:pPr>
      <w:r w:rsidRPr="00B2525C">
        <w:rPr>
          <w:rFonts w:cs="Arial"/>
        </w:rPr>
        <w:br w:type="page"/>
      </w:r>
    </w:p>
    <w:p w14:paraId="52095C14" w14:textId="23DDEC83" w:rsidR="000D0D0B" w:rsidRDefault="000D0D0B" w:rsidP="007C4970">
      <w:pPr>
        <w:pStyle w:val="Heading1"/>
      </w:pPr>
      <w:bookmarkStart w:id="6" w:name="_Toc80014162"/>
      <w:r w:rsidRPr="007C4970">
        <w:lastRenderedPageBreak/>
        <w:t>Summary statistics an</w:t>
      </w:r>
      <w:r w:rsidR="007C4970">
        <w:t xml:space="preserve">d emerging </w:t>
      </w:r>
      <w:r w:rsidRPr="007C4970">
        <w:t>trends</w:t>
      </w:r>
      <w:bookmarkEnd w:id="6"/>
    </w:p>
    <w:p w14:paraId="4C1E4A93" w14:textId="77777777" w:rsidR="003E0416" w:rsidRPr="003E0416" w:rsidRDefault="003E0416" w:rsidP="003E0416"/>
    <w:p w14:paraId="411FC50A" w14:textId="346B2A6E" w:rsidR="00B046AB" w:rsidRPr="00DA2278" w:rsidRDefault="007C4970" w:rsidP="00DA2278">
      <w:pPr>
        <w:pStyle w:val="Heading3"/>
      </w:pPr>
      <w:r w:rsidRPr="00DA2278">
        <w:t>Table</w:t>
      </w:r>
      <w:r w:rsidR="00A878D8">
        <w:t xml:space="preserve"> 1</w:t>
      </w:r>
      <w:r w:rsidRPr="00DA2278">
        <w:t xml:space="preserve">: </w:t>
      </w:r>
      <w:r w:rsidR="00B046AB" w:rsidRPr="00DA2278">
        <w:t>If our population were made-up of 100 people</w:t>
      </w:r>
    </w:p>
    <w:p w14:paraId="7AD6F017" w14:textId="77777777" w:rsidR="0044073A" w:rsidRPr="00B2525C" w:rsidRDefault="0044073A" w:rsidP="00B046AB">
      <w:pPr>
        <w:pStyle w:val="ListParagraph"/>
        <w:spacing w:before="0" w:after="0"/>
        <w:contextualSpacing w:val="0"/>
        <w:rPr>
          <w:rFonts w:ascii="Arial" w:eastAsia="Times New Roman" w:hAnsi="Arial" w:cs="Arial"/>
        </w:rPr>
      </w:pPr>
    </w:p>
    <w:tbl>
      <w:tblPr>
        <w:tblpPr w:leftFromText="180" w:rightFromText="180" w:vertAnchor="text"/>
        <w:tblW w:w="963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97"/>
        <w:gridCol w:w="2977"/>
        <w:gridCol w:w="3260"/>
      </w:tblGrid>
      <w:tr w:rsidR="00DA2278" w:rsidRPr="00DA2278" w14:paraId="2525ED0D" w14:textId="77777777" w:rsidTr="00074A0A">
        <w:tc>
          <w:tcPr>
            <w:tcW w:w="3397" w:type="dxa"/>
            <w:tcBorders>
              <w:top w:val="single" w:sz="4" w:space="0" w:color="auto"/>
              <w:bottom w:val="single" w:sz="4" w:space="0" w:color="auto"/>
            </w:tcBorders>
            <w:tcMar>
              <w:top w:w="0" w:type="dxa"/>
              <w:left w:w="108" w:type="dxa"/>
              <w:bottom w:w="0" w:type="dxa"/>
              <w:right w:w="108" w:type="dxa"/>
            </w:tcMar>
          </w:tcPr>
          <w:p w14:paraId="22C58BEE" w14:textId="77777777" w:rsidR="00DA2278" w:rsidRPr="00DA2278" w:rsidRDefault="00DA2278" w:rsidP="00074A0A">
            <w:pPr>
              <w:spacing w:after="120"/>
              <w:jc w:val="center"/>
              <w:rPr>
                <w:rFonts w:cs="Arial"/>
                <w:b/>
                <w:bCs/>
                <w:sz w:val="20"/>
                <w:szCs w:val="20"/>
              </w:rPr>
            </w:pPr>
            <w:r w:rsidRPr="00DA2278">
              <w:rPr>
                <w:rFonts w:cs="Arial"/>
                <w:b/>
                <w:bCs/>
                <w:sz w:val="20"/>
                <w:szCs w:val="20"/>
              </w:rPr>
              <w:t>Our people</w:t>
            </w:r>
          </w:p>
        </w:tc>
        <w:tc>
          <w:tcPr>
            <w:tcW w:w="2977" w:type="dxa"/>
            <w:tcBorders>
              <w:top w:val="single" w:sz="4" w:space="0" w:color="auto"/>
              <w:bottom w:val="single" w:sz="4" w:space="0" w:color="auto"/>
            </w:tcBorders>
            <w:tcMar>
              <w:top w:w="0" w:type="dxa"/>
              <w:left w:w="108" w:type="dxa"/>
              <w:bottom w:w="0" w:type="dxa"/>
              <w:right w:w="108" w:type="dxa"/>
            </w:tcMar>
            <w:hideMark/>
          </w:tcPr>
          <w:p w14:paraId="0F9600C1" w14:textId="77777777" w:rsidR="00DA2278" w:rsidRPr="00DA2278" w:rsidRDefault="00DA2278" w:rsidP="007D0646">
            <w:pPr>
              <w:spacing w:after="120"/>
              <w:rPr>
                <w:rFonts w:cs="Arial"/>
                <w:b/>
                <w:bCs/>
                <w:sz w:val="20"/>
                <w:szCs w:val="20"/>
              </w:rPr>
            </w:pPr>
            <w:r w:rsidRPr="00DA2278">
              <w:rPr>
                <w:rFonts w:cs="Arial"/>
                <w:b/>
                <w:bCs/>
                <w:sz w:val="20"/>
                <w:szCs w:val="20"/>
              </w:rPr>
              <w:t xml:space="preserve">Individual </w:t>
            </w:r>
            <w:r>
              <w:rPr>
                <w:rFonts w:cs="Arial"/>
                <w:b/>
                <w:bCs/>
                <w:sz w:val="20"/>
                <w:szCs w:val="20"/>
              </w:rPr>
              <w:t>b</w:t>
            </w:r>
            <w:r w:rsidRPr="00DA2278">
              <w:rPr>
                <w:rFonts w:cs="Arial"/>
                <w:b/>
                <w:bCs/>
                <w:sz w:val="20"/>
                <w:szCs w:val="20"/>
              </w:rPr>
              <w:t>ehaviours</w:t>
            </w:r>
          </w:p>
        </w:tc>
        <w:tc>
          <w:tcPr>
            <w:tcW w:w="3260" w:type="dxa"/>
            <w:tcBorders>
              <w:top w:val="single" w:sz="4" w:space="0" w:color="auto"/>
              <w:bottom w:val="single" w:sz="4" w:space="0" w:color="auto"/>
            </w:tcBorders>
            <w:tcMar>
              <w:top w:w="0" w:type="dxa"/>
              <w:left w:w="108" w:type="dxa"/>
              <w:bottom w:w="0" w:type="dxa"/>
              <w:right w:w="108" w:type="dxa"/>
            </w:tcMar>
            <w:hideMark/>
          </w:tcPr>
          <w:p w14:paraId="08A7B70C" w14:textId="77777777" w:rsidR="00DA2278" w:rsidRPr="00DA2278" w:rsidRDefault="00DA2278">
            <w:pPr>
              <w:spacing w:after="120"/>
              <w:jc w:val="center"/>
              <w:rPr>
                <w:rFonts w:cs="Arial"/>
                <w:b/>
                <w:bCs/>
                <w:sz w:val="20"/>
                <w:szCs w:val="20"/>
              </w:rPr>
            </w:pPr>
            <w:r w:rsidRPr="00DA2278">
              <w:rPr>
                <w:rFonts w:cs="Arial"/>
                <w:b/>
                <w:bCs/>
                <w:sz w:val="20"/>
                <w:szCs w:val="20"/>
              </w:rPr>
              <w:t xml:space="preserve">Living and </w:t>
            </w:r>
            <w:r>
              <w:rPr>
                <w:rFonts w:cs="Arial"/>
                <w:b/>
                <w:bCs/>
                <w:sz w:val="20"/>
                <w:szCs w:val="20"/>
              </w:rPr>
              <w:t>w</w:t>
            </w:r>
            <w:r w:rsidRPr="00DA2278">
              <w:rPr>
                <w:rFonts w:cs="Arial"/>
                <w:b/>
                <w:bCs/>
                <w:sz w:val="20"/>
                <w:szCs w:val="20"/>
              </w:rPr>
              <w:t xml:space="preserve">orking </w:t>
            </w:r>
            <w:r>
              <w:rPr>
                <w:rFonts w:cs="Arial"/>
                <w:b/>
                <w:bCs/>
                <w:sz w:val="20"/>
                <w:szCs w:val="20"/>
              </w:rPr>
              <w:t>c</w:t>
            </w:r>
            <w:r w:rsidRPr="00DA2278">
              <w:rPr>
                <w:rFonts w:cs="Arial"/>
                <w:b/>
                <w:bCs/>
                <w:sz w:val="20"/>
                <w:szCs w:val="20"/>
              </w:rPr>
              <w:t>onditions</w:t>
            </w:r>
          </w:p>
        </w:tc>
      </w:tr>
      <w:tr w:rsidR="00DA2278" w:rsidRPr="00DA2278" w14:paraId="7235CA14" w14:textId="77777777" w:rsidTr="00074A0A">
        <w:tc>
          <w:tcPr>
            <w:tcW w:w="3397" w:type="dxa"/>
            <w:tcBorders>
              <w:top w:val="single" w:sz="4" w:space="0" w:color="auto"/>
            </w:tcBorders>
            <w:tcMar>
              <w:top w:w="0" w:type="dxa"/>
              <w:left w:w="108" w:type="dxa"/>
              <w:bottom w:w="0" w:type="dxa"/>
              <w:right w:w="108" w:type="dxa"/>
            </w:tcMar>
            <w:hideMark/>
          </w:tcPr>
          <w:p w14:paraId="3B03CD36" w14:textId="77777777" w:rsidR="00DA2278" w:rsidRPr="00DA2278" w:rsidRDefault="00DA2278" w:rsidP="00AE0BD9">
            <w:pPr>
              <w:spacing w:after="120"/>
              <w:rPr>
                <w:rFonts w:cs="Arial"/>
                <w:sz w:val="20"/>
                <w:szCs w:val="20"/>
              </w:rPr>
            </w:pPr>
            <w:r w:rsidRPr="00DA2278">
              <w:rPr>
                <w:rFonts w:cs="Arial"/>
                <w:sz w:val="20"/>
                <w:szCs w:val="20"/>
              </w:rPr>
              <w:t>Age:</w:t>
            </w:r>
          </w:p>
          <w:p w14:paraId="1BE46105" w14:textId="77777777" w:rsidR="00DA2278" w:rsidRPr="00DA2278" w:rsidRDefault="00AA0918" w:rsidP="0039503D">
            <w:r>
              <w:t xml:space="preserve">   </w:t>
            </w:r>
            <w:r w:rsidR="00DA2278" w:rsidRPr="00DA2278">
              <w:t>29 aged less than 25</w:t>
            </w:r>
          </w:p>
          <w:p w14:paraId="236AAC79" w14:textId="77777777" w:rsidR="00DA2278" w:rsidRPr="00DA2278" w:rsidRDefault="00AA0918" w:rsidP="00AA0918">
            <w:pPr>
              <w:spacing w:after="120"/>
              <w:rPr>
                <w:rFonts w:cs="Arial"/>
                <w:sz w:val="20"/>
                <w:szCs w:val="20"/>
              </w:rPr>
            </w:pPr>
            <w:r>
              <w:rPr>
                <w:rFonts w:cs="Arial"/>
                <w:sz w:val="20"/>
                <w:szCs w:val="20"/>
              </w:rPr>
              <w:t xml:space="preserve">   </w:t>
            </w:r>
            <w:r w:rsidR="00DA2278" w:rsidRPr="00DA2278">
              <w:rPr>
                <w:rFonts w:cs="Arial"/>
                <w:sz w:val="20"/>
                <w:szCs w:val="20"/>
              </w:rPr>
              <w:t>16 aged over 65</w:t>
            </w:r>
          </w:p>
        </w:tc>
        <w:tc>
          <w:tcPr>
            <w:tcW w:w="2977" w:type="dxa"/>
            <w:tcBorders>
              <w:top w:val="single" w:sz="4" w:space="0" w:color="auto"/>
            </w:tcBorders>
            <w:tcMar>
              <w:top w:w="0" w:type="dxa"/>
              <w:left w:w="108" w:type="dxa"/>
              <w:bottom w:w="0" w:type="dxa"/>
              <w:right w:w="108" w:type="dxa"/>
            </w:tcMar>
            <w:hideMark/>
          </w:tcPr>
          <w:p w14:paraId="4E676583" w14:textId="77777777" w:rsidR="00DA2278" w:rsidRPr="00DA2278" w:rsidRDefault="00DA2278" w:rsidP="0088608B">
            <w:pPr>
              <w:spacing w:after="120"/>
              <w:rPr>
                <w:rFonts w:cs="Arial"/>
                <w:sz w:val="20"/>
                <w:szCs w:val="20"/>
              </w:rPr>
            </w:pPr>
            <w:r>
              <w:rPr>
                <w:rFonts w:cs="Arial"/>
                <w:sz w:val="20"/>
                <w:szCs w:val="20"/>
              </w:rPr>
              <w:t>R</w:t>
            </w:r>
            <w:r w:rsidRPr="00DA2278">
              <w:rPr>
                <w:rFonts w:cs="Arial"/>
                <w:sz w:val="20"/>
                <w:szCs w:val="20"/>
              </w:rPr>
              <w:t>isky levels of alcohol consumption</w:t>
            </w:r>
            <w:r>
              <w:rPr>
                <w:rFonts w:cs="Arial"/>
                <w:sz w:val="20"/>
                <w:szCs w:val="20"/>
              </w:rPr>
              <w:t xml:space="preserve">: </w:t>
            </w:r>
            <w:r w:rsidR="0088608B">
              <w:rPr>
                <w:rFonts w:cs="Arial"/>
                <w:sz w:val="20"/>
                <w:szCs w:val="20"/>
              </w:rPr>
              <w:t xml:space="preserve">  </w:t>
            </w:r>
            <w:r w:rsidR="00AA0918">
              <w:rPr>
                <w:rFonts w:cs="Arial"/>
                <w:sz w:val="20"/>
                <w:szCs w:val="20"/>
              </w:rPr>
              <w:t xml:space="preserve"> </w:t>
            </w:r>
            <w:r w:rsidR="00FD0BB2">
              <w:rPr>
                <w:rFonts w:cs="Arial"/>
                <w:sz w:val="20"/>
                <w:szCs w:val="20"/>
              </w:rPr>
              <w:t xml:space="preserve"> </w:t>
            </w:r>
            <w:r w:rsidRPr="00DA2278">
              <w:rPr>
                <w:rFonts w:cs="Arial"/>
                <w:sz w:val="20"/>
                <w:szCs w:val="20"/>
              </w:rPr>
              <w:t>47 adults</w:t>
            </w:r>
          </w:p>
        </w:tc>
        <w:tc>
          <w:tcPr>
            <w:tcW w:w="3260" w:type="dxa"/>
            <w:tcBorders>
              <w:top w:val="single" w:sz="4" w:space="0" w:color="auto"/>
            </w:tcBorders>
            <w:tcMar>
              <w:top w:w="0" w:type="dxa"/>
              <w:left w:w="108" w:type="dxa"/>
              <w:bottom w:w="0" w:type="dxa"/>
              <w:right w:w="108" w:type="dxa"/>
            </w:tcMar>
            <w:hideMark/>
          </w:tcPr>
          <w:p w14:paraId="6FAE3E56" w14:textId="77777777" w:rsidR="00DA2278" w:rsidRPr="00DA2278" w:rsidRDefault="00DA2278" w:rsidP="00AE0BD9">
            <w:pPr>
              <w:spacing w:after="120"/>
              <w:rPr>
                <w:rFonts w:cs="Arial"/>
                <w:sz w:val="20"/>
                <w:szCs w:val="20"/>
              </w:rPr>
            </w:pPr>
            <w:r w:rsidRPr="00DA2278">
              <w:rPr>
                <w:rFonts w:cs="Arial"/>
                <w:sz w:val="20"/>
                <w:szCs w:val="20"/>
              </w:rPr>
              <w:t>Housing:</w:t>
            </w:r>
          </w:p>
          <w:p w14:paraId="0A9A4ABA" w14:textId="77777777" w:rsidR="00DA2278" w:rsidRPr="00DA2278" w:rsidRDefault="00AA0918" w:rsidP="00AA0918">
            <w:pPr>
              <w:spacing w:after="120"/>
              <w:rPr>
                <w:rFonts w:cs="Arial"/>
                <w:sz w:val="20"/>
                <w:szCs w:val="20"/>
              </w:rPr>
            </w:pPr>
            <w:r>
              <w:rPr>
                <w:rFonts w:cs="Arial"/>
                <w:sz w:val="20"/>
                <w:szCs w:val="20"/>
              </w:rPr>
              <w:t xml:space="preserve">   </w:t>
            </w:r>
            <w:r w:rsidR="00DA2278" w:rsidRPr="00DA2278">
              <w:rPr>
                <w:rFonts w:cs="Arial"/>
                <w:sz w:val="20"/>
                <w:szCs w:val="20"/>
              </w:rPr>
              <w:t>64 live in their own home</w:t>
            </w:r>
          </w:p>
          <w:p w14:paraId="5C31812F" w14:textId="77777777" w:rsidR="00DA2278" w:rsidRPr="00DA2278" w:rsidRDefault="00AA0918" w:rsidP="00AA0918">
            <w:pPr>
              <w:spacing w:after="120"/>
              <w:rPr>
                <w:rFonts w:cs="Arial"/>
                <w:sz w:val="20"/>
                <w:szCs w:val="20"/>
              </w:rPr>
            </w:pPr>
            <w:r>
              <w:rPr>
                <w:rFonts w:cs="Arial"/>
                <w:sz w:val="20"/>
                <w:szCs w:val="20"/>
              </w:rPr>
              <w:t xml:space="preserve">    </w:t>
            </w:r>
            <w:r w:rsidR="00DA2278" w:rsidRPr="00DA2278">
              <w:rPr>
                <w:rFonts w:cs="Arial"/>
                <w:sz w:val="20"/>
                <w:szCs w:val="20"/>
              </w:rPr>
              <w:t>33 rent</w:t>
            </w:r>
          </w:p>
        </w:tc>
      </w:tr>
      <w:tr w:rsidR="00DA2278" w:rsidRPr="00DA2278" w14:paraId="786AF9A7" w14:textId="77777777" w:rsidTr="00074A0A">
        <w:tc>
          <w:tcPr>
            <w:tcW w:w="3397" w:type="dxa"/>
            <w:tcMar>
              <w:top w:w="0" w:type="dxa"/>
              <w:left w:w="108" w:type="dxa"/>
              <w:bottom w:w="0" w:type="dxa"/>
              <w:right w:w="108" w:type="dxa"/>
            </w:tcMar>
          </w:tcPr>
          <w:p w14:paraId="14965196" w14:textId="77777777" w:rsidR="00074A0A" w:rsidRDefault="00074A0A" w:rsidP="00AE0BD9">
            <w:pPr>
              <w:spacing w:after="120"/>
              <w:rPr>
                <w:rFonts w:cs="Arial"/>
                <w:sz w:val="20"/>
                <w:szCs w:val="20"/>
              </w:rPr>
            </w:pPr>
          </w:p>
          <w:p w14:paraId="65C4A5C1" w14:textId="77777777" w:rsidR="00DA2278" w:rsidRPr="00DA2278" w:rsidRDefault="00DA2278" w:rsidP="00AE0BD9">
            <w:pPr>
              <w:spacing w:after="120"/>
              <w:rPr>
                <w:rFonts w:cs="Arial"/>
                <w:sz w:val="20"/>
                <w:szCs w:val="20"/>
              </w:rPr>
            </w:pPr>
            <w:r w:rsidRPr="00DA2278">
              <w:rPr>
                <w:rFonts w:cs="Arial"/>
                <w:sz w:val="20"/>
                <w:szCs w:val="20"/>
              </w:rPr>
              <w:t>CALD:</w:t>
            </w:r>
          </w:p>
          <w:p w14:paraId="4417DB25" w14:textId="77777777" w:rsidR="00DA2278" w:rsidRDefault="00DA2278" w:rsidP="00DA2278">
            <w:pPr>
              <w:spacing w:after="200" w:line="276" w:lineRule="auto"/>
              <w:jc w:val="center"/>
              <w:rPr>
                <w:rFonts w:cs="Arial"/>
                <w:sz w:val="20"/>
                <w:szCs w:val="20"/>
              </w:rPr>
            </w:pPr>
            <w:r w:rsidRPr="00DA2278">
              <w:rPr>
                <w:rFonts w:cs="Arial"/>
                <w:sz w:val="20"/>
                <w:szCs w:val="20"/>
              </w:rPr>
              <w:t>28 Live in households non-English speaking</w:t>
            </w:r>
          </w:p>
          <w:p w14:paraId="623EE1D9" w14:textId="77777777" w:rsidR="00406A07" w:rsidRDefault="00DA2278" w:rsidP="00074A0A">
            <w:pPr>
              <w:spacing w:after="200" w:line="276" w:lineRule="auto"/>
              <w:jc w:val="center"/>
              <w:rPr>
                <w:rFonts w:cs="Arial"/>
                <w:sz w:val="20"/>
                <w:szCs w:val="20"/>
              </w:rPr>
            </w:pPr>
            <w:r w:rsidRPr="00DA2278">
              <w:rPr>
                <w:rFonts w:cs="Arial"/>
                <w:sz w:val="20"/>
                <w:szCs w:val="20"/>
              </w:rPr>
              <w:t xml:space="preserve">6 Italian, 3 Greek, 2 </w:t>
            </w:r>
            <w:proofErr w:type="gramStart"/>
            <w:r w:rsidRPr="00DA2278">
              <w:rPr>
                <w:rFonts w:cs="Arial"/>
                <w:sz w:val="20"/>
                <w:szCs w:val="20"/>
              </w:rPr>
              <w:t>Vietnamese,</w:t>
            </w:r>
            <w:r w:rsidR="00074A0A">
              <w:rPr>
                <w:rFonts w:cs="Arial"/>
                <w:sz w:val="20"/>
                <w:szCs w:val="20"/>
              </w:rPr>
              <w:t xml:space="preserve">   </w:t>
            </w:r>
            <w:proofErr w:type="gramEnd"/>
            <w:r w:rsidR="00074A0A">
              <w:rPr>
                <w:rFonts w:cs="Arial"/>
                <w:sz w:val="20"/>
                <w:szCs w:val="20"/>
              </w:rPr>
              <w:t xml:space="preserve"> </w:t>
            </w:r>
            <w:r w:rsidRPr="00DA2278">
              <w:rPr>
                <w:rFonts w:cs="Arial"/>
                <w:sz w:val="20"/>
                <w:szCs w:val="20"/>
              </w:rPr>
              <w:t xml:space="preserve"> 2 Mandarin, 1 Cantonese and 1 Arabic</w:t>
            </w:r>
          </w:p>
          <w:p w14:paraId="216B1FA5" w14:textId="77777777" w:rsidR="00DA2278" w:rsidRPr="00FD0BB2" w:rsidRDefault="00406A07" w:rsidP="00FD0BB2">
            <w:pPr>
              <w:rPr>
                <w:sz w:val="20"/>
                <w:szCs w:val="20"/>
              </w:rPr>
            </w:pPr>
            <w:r w:rsidRPr="00AA0918">
              <w:rPr>
                <w:color w:val="806000" w:themeColor="accent4" w:themeShade="80"/>
                <w:sz w:val="20"/>
                <w:szCs w:val="20"/>
              </w:rPr>
              <w:t xml:space="preserve">Flemington </w:t>
            </w:r>
            <w:r w:rsidRPr="00AA0918">
              <w:rPr>
                <w:sz w:val="20"/>
                <w:szCs w:val="20"/>
              </w:rPr>
              <w:t xml:space="preserve">and </w:t>
            </w:r>
            <w:r w:rsidRPr="00AA0918">
              <w:rPr>
                <w:color w:val="806000" w:themeColor="accent4" w:themeShade="80"/>
                <w:sz w:val="20"/>
                <w:szCs w:val="20"/>
              </w:rPr>
              <w:t>Milleara</w:t>
            </w:r>
            <w:r w:rsidRPr="00AA0918">
              <w:rPr>
                <w:color w:val="E45047"/>
                <w:sz w:val="20"/>
                <w:szCs w:val="20"/>
              </w:rPr>
              <w:t xml:space="preserve"> </w:t>
            </w:r>
            <w:r w:rsidRPr="00AA0918">
              <w:rPr>
                <w:sz w:val="20"/>
                <w:szCs w:val="20"/>
              </w:rPr>
              <w:t>have the highest number of people born overseas</w:t>
            </w:r>
            <w:r w:rsidR="00DA2278" w:rsidRPr="00DA2278">
              <w:rPr>
                <w:rFonts w:cs="Arial"/>
                <w:sz w:val="20"/>
                <w:szCs w:val="20"/>
              </w:rPr>
              <w:t xml:space="preserve"> </w:t>
            </w:r>
          </w:p>
        </w:tc>
        <w:tc>
          <w:tcPr>
            <w:tcW w:w="2977" w:type="dxa"/>
            <w:tcMar>
              <w:top w:w="0" w:type="dxa"/>
              <w:left w:w="108" w:type="dxa"/>
              <w:bottom w:w="0" w:type="dxa"/>
              <w:right w:w="108" w:type="dxa"/>
            </w:tcMar>
          </w:tcPr>
          <w:p w14:paraId="25A9C04E" w14:textId="77777777" w:rsidR="00DA2278" w:rsidRPr="00DA2278" w:rsidRDefault="00DA2278" w:rsidP="00074A0A">
            <w:pPr>
              <w:spacing w:after="120"/>
              <w:rPr>
                <w:rFonts w:cs="Arial"/>
                <w:sz w:val="20"/>
                <w:szCs w:val="20"/>
              </w:rPr>
            </w:pPr>
            <w:r>
              <w:rPr>
                <w:rFonts w:cs="Arial"/>
                <w:sz w:val="20"/>
                <w:szCs w:val="20"/>
              </w:rPr>
              <w:t>M</w:t>
            </w:r>
            <w:r w:rsidRPr="00DA2278">
              <w:rPr>
                <w:rFonts w:cs="Arial"/>
                <w:sz w:val="20"/>
                <w:szCs w:val="20"/>
              </w:rPr>
              <w:t>eet physical activity guidelines</w:t>
            </w:r>
            <w:r w:rsidR="0088608B">
              <w:rPr>
                <w:rFonts w:cs="Arial"/>
                <w:sz w:val="20"/>
                <w:szCs w:val="20"/>
              </w:rPr>
              <w:t>:</w:t>
            </w:r>
            <w:r w:rsidR="00FD0BB2">
              <w:rPr>
                <w:rFonts w:cs="Arial"/>
                <w:sz w:val="20"/>
                <w:szCs w:val="20"/>
              </w:rPr>
              <w:t xml:space="preserve"> </w:t>
            </w:r>
            <w:r w:rsidR="0088608B">
              <w:rPr>
                <w:rFonts w:cs="Arial"/>
                <w:sz w:val="20"/>
                <w:szCs w:val="20"/>
              </w:rPr>
              <w:t>58</w:t>
            </w:r>
            <w:r w:rsidRPr="00DA2278">
              <w:rPr>
                <w:rFonts w:cs="Arial"/>
                <w:sz w:val="20"/>
                <w:szCs w:val="20"/>
              </w:rPr>
              <w:t xml:space="preserve"> adults</w:t>
            </w:r>
          </w:p>
          <w:p w14:paraId="7C432F1F" w14:textId="77777777" w:rsidR="00AA0918" w:rsidRDefault="00AA0918" w:rsidP="00AA0918">
            <w:pPr>
              <w:spacing w:after="120"/>
              <w:rPr>
                <w:rFonts w:cs="Arial"/>
                <w:sz w:val="20"/>
                <w:szCs w:val="20"/>
              </w:rPr>
            </w:pPr>
          </w:p>
          <w:p w14:paraId="3873C0B5" w14:textId="77777777" w:rsidR="00DA2278" w:rsidRDefault="00AA0918" w:rsidP="00074A0A">
            <w:pPr>
              <w:spacing w:after="120"/>
              <w:rPr>
                <w:rFonts w:cs="Arial"/>
                <w:sz w:val="20"/>
                <w:szCs w:val="20"/>
              </w:rPr>
            </w:pPr>
            <w:r>
              <w:rPr>
                <w:rFonts w:cs="Arial"/>
                <w:sz w:val="20"/>
                <w:szCs w:val="20"/>
              </w:rPr>
              <w:t>M</w:t>
            </w:r>
            <w:r w:rsidRPr="00DA2278">
              <w:rPr>
                <w:rFonts w:cs="Arial"/>
                <w:sz w:val="20"/>
                <w:szCs w:val="20"/>
              </w:rPr>
              <w:t>eet healthy eating guidelines</w:t>
            </w:r>
            <w:r>
              <w:rPr>
                <w:rFonts w:cs="Arial"/>
                <w:sz w:val="20"/>
                <w:szCs w:val="20"/>
              </w:rPr>
              <w:t>:</w:t>
            </w:r>
            <w:r w:rsidR="00074A0A">
              <w:rPr>
                <w:rFonts w:cs="Arial"/>
                <w:sz w:val="20"/>
                <w:szCs w:val="20"/>
              </w:rPr>
              <w:t xml:space="preserve">  </w:t>
            </w:r>
            <w:r>
              <w:rPr>
                <w:rFonts w:cs="Arial"/>
                <w:sz w:val="20"/>
                <w:szCs w:val="20"/>
              </w:rPr>
              <w:t>3</w:t>
            </w:r>
            <w:r w:rsidRPr="00DA2278">
              <w:rPr>
                <w:rFonts w:cs="Arial"/>
                <w:sz w:val="20"/>
                <w:szCs w:val="20"/>
              </w:rPr>
              <w:t xml:space="preserve"> </w:t>
            </w:r>
            <w:r>
              <w:rPr>
                <w:rFonts w:cs="Arial"/>
                <w:sz w:val="20"/>
                <w:szCs w:val="20"/>
              </w:rPr>
              <w:t>adults</w:t>
            </w:r>
          </w:p>
          <w:p w14:paraId="4BB4B0C0" w14:textId="77777777" w:rsidR="00FD0BB2" w:rsidRPr="00DA2278" w:rsidRDefault="00FD0BB2" w:rsidP="00074A0A">
            <w:pPr>
              <w:spacing w:after="120"/>
              <w:rPr>
                <w:rFonts w:cs="Arial"/>
                <w:sz w:val="20"/>
                <w:szCs w:val="20"/>
              </w:rPr>
            </w:pPr>
            <w:r w:rsidRPr="00DA2278">
              <w:rPr>
                <w:rFonts w:cs="Arial"/>
                <w:sz w:val="20"/>
                <w:szCs w:val="20"/>
              </w:rPr>
              <w:t>Smoke</w:t>
            </w:r>
            <w:r>
              <w:rPr>
                <w:rFonts w:cs="Arial"/>
                <w:sz w:val="20"/>
                <w:szCs w:val="20"/>
              </w:rPr>
              <w:t>rs:</w:t>
            </w:r>
            <w:r w:rsidR="00074A0A">
              <w:rPr>
                <w:rFonts w:cs="Arial"/>
                <w:sz w:val="20"/>
                <w:szCs w:val="20"/>
              </w:rPr>
              <w:t xml:space="preserve">  </w:t>
            </w:r>
            <w:r>
              <w:rPr>
                <w:rFonts w:cs="Arial"/>
                <w:sz w:val="20"/>
                <w:szCs w:val="20"/>
              </w:rPr>
              <w:t xml:space="preserve"> </w:t>
            </w:r>
            <w:r w:rsidRPr="00DA2278">
              <w:rPr>
                <w:rFonts w:cs="Arial"/>
                <w:sz w:val="20"/>
                <w:szCs w:val="20"/>
              </w:rPr>
              <w:t>12 adults</w:t>
            </w:r>
          </w:p>
        </w:tc>
        <w:tc>
          <w:tcPr>
            <w:tcW w:w="3260" w:type="dxa"/>
            <w:tcMar>
              <w:top w:w="0" w:type="dxa"/>
              <w:left w:w="108" w:type="dxa"/>
              <w:bottom w:w="0" w:type="dxa"/>
              <w:right w:w="108" w:type="dxa"/>
            </w:tcMar>
          </w:tcPr>
          <w:p w14:paraId="6DED9D26" w14:textId="77777777" w:rsidR="00DA2278" w:rsidRPr="00DA2278" w:rsidRDefault="00DA2278" w:rsidP="00AE0BD9">
            <w:pPr>
              <w:rPr>
                <w:rFonts w:cs="Arial"/>
                <w:sz w:val="20"/>
                <w:szCs w:val="20"/>
              </w:rPr>
            </w:pPr>
            <w:r w:rsidRPr="00DA2278">
              <w:rPr>
                <w:rFonts w:cs="Arial"/>
                <w:sz w:val="20"/>
                <w:szCs w:val="20"/>
              </w:rPr>
              <w:t xml:space="preserve">Affordable and social housing: </w:t>
            </w:r>
          </w:p>
          <w:p w14:paraId="4FB2AE1E" w14:textId="77777777" w:rsidR="00DA2278" w:rsidRPr="00DA2278" w:rsidRDefault="00AA0918" w:rsidP="00AA0918">
            <w:pPr>
              <w:rPr>
                <w:rFonts w:cs="Arial"/>
                <w:sz w:val="20"/>
                <w:szCs w:val="20"/>
              </w:rPr>
            </w:pPr>
            <w:r>
              <w:rPr>
                <w:rFonts w:cs="Arial"/>
                <w:sz w:val="20"/>
                <w:szCs w:val="20"/>
              </w:rPr>
              <w:t xml:space="preserve">   </w:t>
            </w:r>
            <w:r w:rsidR="00DA2278" w:rsidRPr="00DA2278">
              <w:rPr>
                <w:rFonts w:cs="Arial"/>
                <w:sz w:val="20"/>
                <w:szCs w:val="20"/>
              </w:rPr>
              <w:t>4 live in public housing</w:t>
            </w:r>
          </w:p>
          <w:p w14:paraId="14CEA3B8" w14:textId="77777777" w:rsidR="00DA2278" w:rsidRDefault="00AA0918" w:rsidP="00AA0918">
            <w:pPr>
              <w:rPr>
                <w:rFonts w:cs="Arial"/>
                <w:sz w:val="20"/>
                <w:szCs w:val="20"/>
              </w:rPr>
            </w:pPr>
            <w:r>
              <w:rPr>
                <w:rFonts w:cs="Arial"/>
                <w:sz w:val="20"/>
                <w:szCs w:val="20"/>
              </w:rPr>
              <w:t xml:space="preserve">   </w:t>
            </w:r>
            <w:r w:rsidR="00DA2278" w:rsidRPr="00DA2278">
              <w:rPr>
                <w:rFonts w:cs="Arial"/>
                <w:sz w:val="20"/>
                <w:szCs w:val="20"/>
              </w:rPr>
              <w:t>2 available rental properties are affordable</w:t>
            </w:r>
          </w:p>
          <w:p w14:paraId="566B961F" w14:textId="77777777" w:rsidR="00406A07" w:rsidRPr="00074A0A" w:rsidRDefault="00AA0918" w:rsidP="00074A0A">
            <w:pPr>
              <w:ind w:right="105"/>
              <w:rPr>
                <w:rFonts w:cstheme="minorHAnsi"/>
                <w:sz w:val="20"/>
                <w:szCs w:val="20"/>
              </w:rPr>
            </w:pPr>
            <w:r>
              <w:rPr>
                <w:rFonts w:cstheme="minorHAnsi"/>
                <w:sz w:val="20"/>
                <w:szCs w:val="20"/>
              </w:rPr>
              <w:t xml:space="preserve">   </w:t>
            </w:r>
            <w:r w:rsidR="00406A07" w:rsidRPr="00AA0918">
              <w:rPr>
                <w:rFonts w:cstheme="minorHAnsi"/>
                <w:sz w:val="20"/>
                <w:szCs w:val="20"/>
              </w:rPr>
              <w:t>4</w:t>
            </w:r>
            <w:r>
              <w:rPr>
                <w:rFonts w:cstheme="minorHAnsi"/>
                <w:sz w:val="20"/>
                <w:szCs w:val="20"/>
              </w:rPr>
              <w:t xml:space="preserve">0 </w:t>
            </w:r>
            <w:r w:rsidR="00406A07" w:rsidRPr="00AA0918">
              <w:rPr>
                <w:rFonts w:cstheme="minorHAnsi"/>
                <w:color w:val="806000" w:themeColor="accent4" w:themeShade="80"/>
                <w:sz w:val="20"/>
                <w:szCs w:val="20"/>
              </w:rPr>
              <w:t xml:space="preserve">Avondale Heights </w:t>
            </w:r>
            <w:r w:rsidR="00406A07" w:rsidRPr="00AA0918">
              <w:rPr>
                <w:rFonts w:cstheme="minorHAnsi"/>
                <w:sz w:val="20"/>
                <w:szCs w:val="20"/>
              </w:rPr>
              <w:t>renters face rental stress</w:t>
            </w:r>
          </w:p>
        </w:tc>
      </w:tr>
      <w:tr w:rsidR="00FD0BB2" w:rsidRPr="00DA2278" w14:paraId="5EF1FD8C" w14:textId="77777777" w:rsidTr="00074A0A">
        <w:tc>
          <w:tcPr>
            <w:tcW w:w="3397" w:type="dxa"/>
            <w:tcMar>
              <w:top w:w="0" w:type="dxa"/>
              <w:left w:w="108" w:type="dxa"/>
              <w:bottom w:w="0" w:type="dxa"/>
              <w:right w:w="108" w:type="dxa"/>
            </w:tcMar>
            <w:hideMark/>
          </w:tcPr>
          <w:p w14:paraId="3AF86611" w14:textId="77777777" w:rsidR="00074A0A" w:rsidRDefault="00074A0A" w:rsidP="00FD0BB2">
            <w:pPr>
              <w:spacing w:after="120"/>
              <w:rPr>
                <w:rFonts w:cs="Arial"/>
                <w:sz w:val="20"/>
                <w:szCs w:val="20"/>
              </w:rPr>
            </w:pPr>
          </w:p>
          <w:p w14:paraId="66707151" w14:textId="77777777" w:rsidR="00FD0BB2" w:rsidRDefault="00FD0BB2" w:rsidP="00FD0BB2">
            <w:pPr>
              <w:spacing w:after="120"/>
              <w:rPr>
                <w:rFonts w:cs="Arial"/>
                <w:sz w:val="20"/>
                <w:szCs w:val="20"/>
              </w:rPr>
            </w:pPr>
            <w:r w:rsidRPr="00DA2278">
              <w:rPr>
                <w:rFonts w:cs="Arial"/>
                <w:sz w:val="20"/>
                <w:szCs w:val="20"/>
              </w:rPr>
              <w:t>LGBTIQA+</w:t>
            </w:r>
            <w:r>
              <w:rPr>
                <w:rFonts w:cs="Arial"/>
                <w:sz w:val="20"/>
                <w:szCs w:val="20"/>
              </w:rPr>
              <w:t>:</w:t>
            </w:r>
            <w:r w:rsidR="00074A0A">
              <w:rPr>
                <w:rFonts w:cs="Arial"/>
                <w:sz w:val="20"/>
                <w:szCs w:val="20"/>
              </w:rPr>
              <w:t xml:space="preserve"> </w:t>
            </w:r>
            <w:r>
              <w:rPr>
                <w:rFonts w:cs="Arial"/>
                <w:sz w:val="20"/>
                <w:szCs w:val="20"/>
              </w:rPr>
              <w:t xml:space="preserve"> </w:t>
            </w:r>
            <w:r w:rsidRPr="00DA2278">
              <w:rPr>
                <w:rFonts w:cs="Arial"/>
                <w:sz w:val="20"/>
                <w:szCs w:val="20"/>
              </w:rPr>
              <w:t xml:space="preserve">8 adults </w:t>
            </w:r>
          </w:p>
          <w:p w14:paraId="02B813C9" w14:textId="77777777" w:rsidR="00FD0BB2" w:rsidRPr="00DA2278" w:rsidRDefault="00FD0BB2" w:rsidP="00074A0A">
            <w:pPr>
              <w:spacing w:after="120"/>
              <w:rPr>
                <w:rFonts w:cs="Arial"/>
                <w:sz w:val="20"/>
                <w:szCs w:val="20"/>
              </w:rPr>
            </w:pPr>
            <w:r w:rsidRPr="00DA2278">
              <w:rPr>
                <w:rFonts w:cs="Arial"/>
                <w:sz w:val="20"/>
                <w:szCs w:val="20"/>
              </w:rPr>
              <w:t>International Students</w:t>
            </w:r>
            <w:r w:rsidR="00074A0A">
              <w:rPr>
                <w:rFonts w:cs="Arial"/>
                <w:sz w:val="20"/>
                <w:szCs w:val="20"/>
              </w:rPr>
              <w:t>:</w:t>
            </w:r>
            <w:r>
              <w:rPr>
                <w:rFonts w:cs="Arial"/>
                <w:sz w:val="20"/>
                <w:szCs w:val="20"/>
              </w:rPr>
              <w:t xml:space="preserve">  1 adult</w:t>
            </w:r>
          </w:p>
        </w:tc>
        <w:tc>
          <w:tcPr>
            <w:tcW w:w="2977" w:type="dxa"/>
            <w:tcMar>
              <w:top w:w="0" w:type="dxa"/>
              <w:left w:w="108" w:type="dxa"/>
              <w:bottom w:w="0" w:type="dxa"/>
              <w:right w:w="108" w:type="dxa"/>
            </w:tcMar>
            <w:hideMark/>
          </w:tcPr>
          <w:p w14:paraId="6ADBB3F3" w14:textId="77777777" w:rsidR="00FD0BB2" w:rsidRPr="00DA2278" w:rsidRDefault="00FD0BB2" w:rsidP="00FD0BB2">
            <w:pPr>
              <w:spacing w:after="120"/>
              <w:rPr>
                <w:rFonts w:cs="Arial"/>
                <w:sz w:val="20"/>
                <w:szCs w:val="20"/>
              </w:rPr>
            </w:pPr>
          </w:p>
        </w:tc>
        <w:tc>
          <w:tcPr>
            <w:tcW w:w="3260" w:type="dxa"/>
            <w:tcMar>
              <w:top w:w="0" w:type="dxa"/>
              <w:left w:w="108" w:type="dxa"/>
              <w:bottom w:w="0" w:type="dxa"/>
              <w:right w:w="108" w:type="dxa"/>
            </w:tcMar>
          </w:tcPr>
          <w:p w14:paraId="09935862" w14:textId="77777777" w:rsidR="00FD0BB2" w:rsidRDefault="00FD0BB2" w:rsidP="00FD0BB2">
            <w:pPr>
              <w:spacing w:after="120"/>
              <w:rPr>
                <w:rFonts w:cs="Arial"/>
                <w:sz w:val="20"/>
                <w:szCs w:val="20"/>
              </w:rPr>
            </w:pPr>
            <w:r w:rsidRPr="00DA2278">
              <w:rPr>
                <w:rFonts w:cs="Arial"/>
                <w:sz w:val="20"/>
                <w:szCs w:val="20"/>
              </w:rPr>
              <w:t xml:space="preserve">Employed: </w:t>
            </w:r>
            <w:r>
              <w:rPr>
                <w:rFonts w:cs="Arial"/>
                <w:sz w:val="20"/>
                <w:szCs w:val="20"/>
              </w:rPr>
              <w:t xml:space="preserve"> </w:t>
            </w:r>
            <w:r w:rsidRPr="00DA2278">
              <w:rPr>
                <w:rFonts w:cs="Arial"/>
                <w:sz w:val="20"/>
                <w:szCs w:val="20"/>
              </w:rPr>
              <w:t>6 7 men; 59 women</w:t>
            </w:r>
          </w:p>
          <w:p w14:paraId="74B26FC1" w14:textId="77777777" w:rsidR="00FD0BB2" w:rsidRDefault="00074A0A" w:rsidP="00074A0A">
            <w:pPr>
              <w:spacing w:after="120"/>
              <w:rPr>
                <w:rFonts w:cs="Arial"/>
                <w:sz w:val="20"/>
                <w:szCs w:val="20"/>
              </w:rPr>
            </w:pPr>
            <w:r>
              <w:rPr>
                <w:rFonts w:cs="Arial"/>
                <w:sz w:val="20"/>
                <w:szCs w:val="20"/>
              </w:rPr>
              <w:t xml:space="preserve">The unemployment rate is highest in </w:t>
            </w:r>
            <w:r w:rsidRPr="00074A0A">
              <w:rPr>
                <w:rFonts w:cs="Arial"/>
                <w:color w:val="538135" w:themeColor="accent6" w:themeShade="BF"/>
                <w:sz w:val="20"/>
                <w:szCs w:val="20"/>
              </w:rPr>
              <w:t>Flemington</w:t>
            </w:r>
            <w:r>
              <w:rPr>
                <w:rFonts w:cs="Arial"/>
                <w:sz w:val="20"/>
                <w:szCs w:val="20"/>
              </w:rPr>
              <w:t xml:space="preserve"> and </w:t>
            </w:r>
            <w:r w:rsidRPr="00074A0A">
              <w:rPr>
                <w:rFonts w:cs="Arial"/>
                <w:color w:val="538135" w:themeColor="accent6" w:themeShade="BF"/>
                <w:sz w:val="20"/>
                <w:szCs w:val="20"/>
              </w:rPr>
              <w:t xml:space="preserve">Ascot Vale </w:t>
            </w:r>
            <w:r>
              <w:rPr>
                <w:rFonts w:cs="Arial"/>
                <w:sz w:val="20"/>
                <w:szCs w:val="20"/>
              </w:rPr>
              <w:t xml:space="preserve">and lowest in </w:t>
            </w:r>
            <w:r w:rsidRPr="00074A0A">
              <w:rPr>
                <w:rFonts w:cs="Arial"/>
                <w:color w:val="538135" w:themeColor="accent6" w:themeShade="BF"/>
                <w:sz w:val="20"/>
                <w:szCs w:val="20"/>
              </w:rPr>
              <w:t>Strathmore</w:t>
            </w:r>
          </w:p>
          <w:p w14:paraId="7C763C3D" w14:textId="77777777" w:rsidR="00074A0A" w:rsidRPr="00074A0A" w:rsidRDefault="00074A0A" w:rsidP="00074A0A">
            <w:pPr>
              <w:spacing w:after="120"/>
              <w:rPr>
                <w:rFonts w:cs="Arial"/>
                <w:sz w:val="20"/>
                <w:szCs w:val="20"/>
              </w:rPr>
            </w:pPr>
          </w:p>
        </w:tc>
      </w:tr>
      <w:tr w:rsidR="00FD0BB2" w:rsidRPr="00DA2278" w14:paraId="39037DE0" w14:textId="77777777" w:rsidTr="00074A0A">
        <w:tc>
          <w:tcPr>
            <w:tcW w:w="3397" w:type="dxa"/>
            <w:tcMar>
              <w:top w:w="0" w:type="dxa"/>
              <w:left w:w="108" w:type="dxa"/>
              <w:bottom w:w="0" w:type="dxa"/>
              <w:right w:w="108" w:type="dxa"/>
            </w:tcMar>
          </w:tcPr>
          <w:p w14:paraId="0498DAC6" w14:textId="77777777" w:rsidR="00FD0BB2" w:rsidRPr="00DA2278" w:rsidRDefault="00FD0BB2" w:rsidP="00FD0BB2">
            <w:pPr>
              <w:spacing w:after="120"/>
              <w:rPr>
                <w:rFonts w:cs="Arial"/>
                <w:sz w:val="20"/>
                <w:szCs w:val="20"/>
              </w:rPr>
            </w:pPr>
            <w:r>
              <w:rPr>
                <w:rFonts w:cs="Arial"/>
                <w:sz w:val="20"/>
                <w:szCs w:val="20"/>
              </w:rPr>
              <w:t>1: Aboriginal and Torres Strait Islander</w:t>
            </w:r>
          </w:p>
        </w:tc>
        <w:tc>
          <w:tcPr>
            <w:tcW w:w="2977" w:type="dxa"/>
            <w:tcMar>
              <w:top w:w="0" w:type="dxa"/>
              <w:left w:w="108" w:type="dxa"/>
              <w:bottom w:w="0" w:type="dxa"/>
              <w:right w:w="108" w:type="dxa"/>
            </w:tcMar>
          </w:tcPr>
          <w:p w14:paraId="770D9B85" w14:textId="77777777" w:rsidR="00FD0BB2" w:rsidRPr="00DA2278" w:rsidRDefault="00FD0BB2" w:rsidP="00FD0BB2">
            <w:pPr>
              <w:spacing w:after="120"/>
              <w:rPr>
                <w:rFonts w:cs="Arial"/>
                <w:sz w:val="20"/>
                <w:szCs w:val="20"/>
              </w:rPr>
            </w:pPr>
          </w:p>
        </w:tc>
        <w:tc>
          <w:tcPr>
            <w:tcW w:w="3260" w:type="dxa"/>
            <w:tcMar>
              <w:top w:w="0" w:type="dxa"/>
              <w:left w:w="108" w:type="dxa"/>
              <w:bottom w:w="0" w:type="dxa"/>
              <w:right w:w="108" w:type="dxa"/>
            </w:tcMar>
          </w:tcPr>
          <w:p w14:paraId="601422FE" w14:textId="77777777" w:rsidR="00FD0BB2" w:rsidRDefault="00FD0BB2" w:rsidP="00FD0BB2">
            <w:pPr>
              <w:spacing w:after="120"/>
              <w:rPr>
                <w:rFonts w:cs="Arial"/>
                <w:sz w:val="20"/>
                <w:szCs w:val="20"/>
              </w:rPr>
            </w:pPr>
            <w:r w:rsidRPr="00DA2278">
              <w:rPr>
                <w:rFonts w:cs="Arial"/>
                <w:sz w:val="20"/>
                <w:szCs w:val="20"/>
              </w:rPr>
              <w:t>Weekly income &gt;$1,250:</w:t>
            </w:r>
          </w:p>
          <w:p w14:paraId="7F8F56D7" w14:textId="77777777" w:rsidR="00FD0BB2" w:rsidRPr="00DA2278" w:rsidRDefault="00FD0BB2" w:rsidP="00FD0BB2">
            <w:pPr>
              <w:spacing w:after="120"/>
              <w:rPr>
                <w:rFonts w:cs="Arial"/>
                <w:sz w:val="20"/>
                <w:szCs w:val="20"/>
              </w:rPr>
            </w:pPr>
            <w:r>
              <w:rPr>
                <w:rFonts w:cs="Arial"/>
                <w:sz w:val="20"/>
                <w:szCs w:val="20"/>
              </w:rPr>
              <w:t xml:space="preserve">  </w:t>
            </w:r>
            <w:r w:rsidRPr="00DA2278">
              <w:rPr>
                <w:rFonts w:cs="Arial"/>
                <w:sz w:val="20"/>
                <w:szCs w:val="20"/>
              </w:rPr>
              <w:t>17 men; 10 women</w:t>
            </w:r>
          </w:p>
        </w:tc>
      </w:tr>
      <w:tr w:rsidR="00FD0BB2" w:rsidRPr="00DA2278" w14:paraId="0F277FCC" w14:textId="77777777" w:rsidTr="00074A0A">
        <w:tc>
          <w:tcPr>
            <w:tcW w:w="3397" w:type="dxa"/>
            <w:tcMar>
              <w:top w:w="0" w:type="dxa"/>
              <w:left w:w="108" w:type="dxa"/>
              <w:bottom w:w="0" w:type="dxa"/>
              <w:right w:w="108" w:type="dxa"/>
            </w:tcMar>
            <w:hideMark/>
          </w:tcPr>
          <w:p w14:paraId="5600D94F" w14:textId="77777777" w:rsidR="00FD0BB2" w:rsidRDefault="00FD0BB2" w:rsidP="00FD0BB2">
            <w:pPr>
              <w:spacing w:after="120"/>
              <w:rPr>
                <w:rFonts w:cs="Arial"/>
                <w:sz w:val="20"/>
                <w:szCs w:val="20"/>
              </w:rPr>
            </w:pPr>
            <w:r>
              <w:rPr>
                <w:rFonts w:cs="Arial"/>
                <w:sz w:val="20"/>
                <w:szCs w:val="20"/>
              </w:rPr>
              <w:t>L</w:t>
            </w:r>
            <w:r w:rsidRPr="00DA2278">
              <w:rPr>
                <w:rFonts w:cs="Arial"/>
                <w:sz w:val="20"/>
                <w:szCs w:val="20"/>
              </w:rPr>
              <w:t>ive with a disability</w:t>
            </w:r>
            <w:r>
              <w:rPr>
                <w:rFonts w:cs="Arial"/>
                <w:sz w:val="20"/>
                <w:szCs w:val="20"/>
              </w:rPr>
              <w:t xml:space="preserve">: </w:t>
            </w:r>
            <w:r w:rsidRPr="00DA2278">
              <w:rPr>
                <w:rFonts w:cs="Arial"/>
                <w:sz w:val="20"/>
                <w:szCs w:val="20"/>
              </w:rPr>
              <w:t>5</w:t>
            </w:r>
          </w:p>
          <w:p w14:paraId="799D8ADB" w14:textId="77777777" w:rsidR="00FD0BB2" w:rsidRDefault="00FD0BB2" w:rsidP="00FD0BB2">
            <w:pPr>
              <w:spacing w:after="120"/>
              <w:jc w:val="center"/>
              <w:rPr>
                <w:rFonts w:cs="Arial"/>
                <w:sz w:val="20"/>
                <w:szCs w:val="20"/>
              </w:rPr>
            </w:pPr>
            <w:r w:rsidRPr="00DA2278">
              <w:rPr>
                <w:rFonts w:cs="Arial"/>
                <w:sz w:val="20"/>
                <w:szCs w:val="20"/>
              </w:rPr>
              <w:t>45</w:t>
            </w:r>
            <w:r>
              <w:rPr>
                <w:rFonts w:cs="Arial"/>
                <w:sz w:val="20"/>
                <w:szCs w:val="20"/>
              </w:rPr>
              <w:t xml:space="preserve"> P</w:t>
            </w:r>
            <w:r w:rsidRPr="00DA2278">
              <w:rPr>
                <w:rFonts w:cs="Arial"/>
                <w:sz w:val="20"/>
                <w:szCs w:val="20"/>
              </w:rPr>
              <w:t>eople aged over 65 live with disability</w:t>
            </w:r>
            <w:r>
              <w:rPr>
                <w:rFonts w:cs="Arial"/>
                <w:sz w:val="20"/>
                <w:szCs w:val="20"/>
              </w:rPr>
              <w:t xml:space="preserve">      </w:t>
            </w:r>
          </w:p>
          <w:p w14:paraId="2BE4E7A0" w14:textId="77777777" w:rsidR="00FD0BB2" w:rsidRPr="00DA2278" w:rsidRDefault="00074A0A" w:rsidP="00074A0A">
            <w:pPr>
              <w:spacing w:after="120"/>
              <w:rPr>
                <w:rFonts w:cs="Arial"/>
                <w:sz w:val="20"/>
                <w:szCs w:val="20"/>
              </w:rPr>
            </w:pPr>
            <w:r>
              <w:rPr>
                <w:rFonts w:cs="Arial"/>
                <w:sz w:val="20"/>
                <w:szCs w:val="20"/>
              </w:rPr>
              <w:t xml:space="preserve">  </w:t>
            </w:r>
            <w:r w:rsidR="00FD0BB2">
              <w:rPr>
                <w:rFonts w:cs="Arial"/>
                <w:sz w:val="20"/>
                <w:szCs w:val="20"/>
              </w:rPr>
              <w:t>10 P</w:t>
            </w:r>
            <w:r w:rsidR="00FD0BB2" w:rsidRPr="00DA2278">
              <w:rPr>
                <w:rFonts w:cs="Arial"/>
                <w:sz w:val="20"/>
                <w:szCs w:val="20"/>
              </w:rPr>
              <w:t>rovide unpaid care for a person living with disability</w:t>
            </w:r>
          </w:p>
        </w:tc>
        <w:tc>
          <w:tcPr>
            <w:tcW w:w="2977" w:type="dxa"/>
            <w:tcMar>
              <w:top w:w="0" w:type="dxa"/>
              <w:left w:w="108" w:type="dxa"/>
              <w:bottom w:w="0" w:type="dxa"/>
              <w:right w:w="108" w:type="dxa"/>
            </w:tcMar>
            <w:hideMark/>
          </w:tcPr>
          <w:p w14:paraId="0796A68B" w14:textId="77777777" w:rsidR="00FD0BB2" w:rsidRPr="00DA2278" w:rsidRDefault="00FD0BB2" w:rsidP="00FD0BB2">
            <w:pPr>
              <w:spacing w:after="120"/>
              <w:rPr>
                <w:rFonts w:cs="Arial"/>
                <w:sz w:val="20"/>
                <w:szCs w:val="20"/>
              </w:rPr>
            </w:pPr>
          </w:p>
        </w:tc>
        <w:tc>
          <w:tcPr>
            <w:tcW w:w="3260" w:type="dxa"/>
            <w:tcMar>
              <w:top w:w="0" w:type="dxa"/>
              <w:left w:w="108" w:type="dxa"/>
              <w:bottom w:w="0" w:type="dxa"/>
              <w:right w:w="108" w:type="dxa"/>
            </w:tcMar>
          </w:tcPr>
          <w:p w14:paraId="397FC590" w14:textId="77777777" w:rsidR="00074A0A" w:rsidRDefault="00074A0A" w:rsidP="00FD0BB2">
            <w:pPr>
              <w:spacing w:after="120"/>
              <w:rPr>
                <w:rFonts w:cs="Arial"/>
                <w:sz w:val="20"/>
                <w:szCs w:val="20"/>
              </w:rPr>
            </w:pPr>
          </w:p>
          <w:p w14:paraId="75CAFF73" w14:textId="77777777" w:rsidR="00FD0BB2" w:rsidRPr="00DA2278" w:rsidRDefault="00FD0BB2" w:rsidP="00FD0BB2">
            <w:pPr>
              <w:spacing w:after="120"/>
              <w:rPr>
                <w:rFonts w:cs="Arial"/>
                <w:sz w:val="20"/>
                <w:szCs w:val="20"/>
              </w:rPr>
            </w:pPr>
            <w:r w:rsidRPr="00DA2278">
              <w:rPr>
                <w:rFonts w:cs="Arial"/>
                <w:sz w:val="20"/>
                <w:szCs w:val="20"/>
              </w:rPr>
              <w:t>Household structure:</w:t>
            </w:r>
          </w:p>
          <w:p w14:paraId="07B6CC54" w14:textId="77777777" w:rsidR="00FD0BB2" w:rsidRPr="00DA2278" w:rsidRDefault="00FD0BB2" w:rsidP="00FD0BB2">
            <w:pPr>
              <w:spacing w:after="120"/>
              <w:rPr>
                <w:rFonts w:cs="Arial"/>
                <w:sz w:val="20"/>
                <w:szCs w:val="20"/>
              </w:rPr>
            </w:pPr>
            <w:r>
              <w:rPr>
                <w:rFonts w:cs="Arial"/>
                <w:sz w:val="20"/>
                <w:szCs w:val="20"/>
              </w:rPr>
              <w:t xml:space="preserve">  </w:t>
            </w:r>
            <w:r w:rsidRPr="00DA2278">
              <w:rPr>
                <w:rFonts w:cs="Arial"/>
                <w:sz w:val="20"/>
                <w:szCs w:val="20"/>
              </w:rPr>
              <w:t>31 couples with children</w:t>
            </w:r>
          </w:p>
          <w:p w14:paraId="0AC95536" w14:textId="77777777" w:rsidR="00FD0BB2" w:rsidRDefault="00FD0BB2" w:rsidP="00FD0BB2">
            <w:pPr>
              <w:spacing w:after="120"/>
              <w:rPr>
                <w:rFonts w:cs="Arial"/>
                <w:sz w:val="20"/>
                <w:szCs w:val="20"/>
              </w:rPr>
            </w:pPr>
            <w:r>
              <w:rPr>
                <w:rFonts w:cs="Arial"/>
                <w:sz w:val="20"/>
                <w:szCs w:val="20"/>
              </w:rPr>
              <w:t xml:space="preserve">  </w:t>
            </w:r>
            <w:r w:rsidRPr="00DA2278">
              <w:rPr>
                <w:rFonts w:cs="Arial"/>
                <w:sz w:val="20"/>
                <w:szCs w:val="20"/>
              </w:rPr>
              <w:t>25 lone dwelling</w:t>
            </w:r>
          </w:p>
          <w:p w14:paraId="68D6AFE9" w14:textId="77777777" w:rsidR="00FD0BB2" w:rsidRPr="00FD0BB2" w:rsidRDefault="00FD0BB2" w:rsidP="00FD0BB2">
            <w:pPr>
              <w:spacing w:after="120"/>
              <w:rPr>
                <w:rFonts w:cs="Arial"/>
                <w:sz w:val="20"/>
                <w:szCs w:val="20"/>
              </w:rPr>
            </w:pPr>
            <w:r w:rsidRPr="00FD0BB2">
              <w:rPr>
                <w:color w:val="538135" w:themeColor="accent6" w:themeShade="BF"/>
                <w:sz w:val="20"/>
                <w:szCs w:val="20"/>
              </w:rPr>
              <w:t xml:space="preserve">Keilor Road/Essendon North </w:t>
            </w:r>
            <w:r w:rsidRPr="00FD0BB2">
              <w:rPr>
                <w:sz w:val="20"/>
                <w:szCs w:val="20"/>
              </w:rPr>
              <w:t>highest proportion of people living alone</w:t>
            </w:r>
          </w:p>
        </w:tc>
      </w:tr>
    </w:tbl>
    <w:p w14:paraId="38CD5269" w14:textId="77777777" w:rsidR="004B4692" w:rsidRDefault="004B4692" w:rsidP="0044073A">
      <w:pPr>
        <w:rPr>
          <w:rFonts w:cs="Arial"/>
        </w:rPr>
      </w:pPr>
    </w:p>
    <w:p w14:paraId="37DF5E30" w14:textId="77777777" w:rsidR="004B4692" w:rsidRDefault="00074A0A" w:rsidP="0044073A">
      <w:pPr>
        <w:rPr>
          <w:rFonts w:cs="Arial"/>
        </w:rPr>
      </w:pPr>
      <w:r w:rsidRPr="00B2525C">
        <w:rPr>
          <w:rFonts w:cs="Arial"/>
          <w:sz w:val="18"/>
          <w:szCs w:val="18"/>
        </w:rPr>
        <w:t>Note: Percentages have been rounded up to the whole number where applicable. Demographic and individual behavioural data was collected before the COVID-19 pandemic</w:t>
      </w:r>
    </w:p>
    <w:tbl>
      <w:tblPr>
        <w:tblpPr w:leftFromText="180" w:rightFromText="180" w:vertAnchor="text" w:horzAnchor="margin" w:tblpY="866"/>
        <w:tblW w:w="10102"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68"/>
        <w:gridCol w:w="3269"/>
        <w:gridCol w:w="3565"/>
      </w:tblGrid>
      <w:tr w:rsidR="0088074D" w:rsidRPr="0088074D" w14:paraId="1BBBDE94" w14:textId="77777777" w:rsidTr="0004107A">
        <w:trPr>
          <w:trHeight w:val="422"/>
        </w:trPr>
        <w:tc>
          <w:tcPr>
            <w:tcW w:w="3268" w:type="dxa"/>
            <w:tcBorders>
              <w:top w:val="single" w:sz="4" w:space="0" w:color="auto"/>
              <w:bottom w:val="single" w:sz="4" w:space="0" w:color="auto"/>
            </w:tcBorders>
            <w:tcMar>
              <w:top w:w="0" w:type="dxa"/>
              <w:left w:w="108" w:type="dxa"/>
              <w:bottom w:w="0" w:type="dxa"/>
              <w:right w:w="108" w:type="dxa"/>
            </w:tcMar>
            <w:hideMark/>
          </w:tcPr>
          <w:p w14:paraId="0F2D1B53" w14:textId="77777777" w:rsidR="0088074D" w:rsidRPr="0088074D" w:rsidRDefault="0088074D" w:rsidP="0088074D">
            <w:pPr>
              <w:spacing w:after="120"/>
              <w:jc w:val="center"/>
              <w:rPr>
                <w:rFonts w:cs="Arial"/>
                <w:b/>
                <w:bCs/>
                <w:sz w:val="20"/>
                <w:szCs w:val="20"/>
              </w:rPr>
            </w:pPr>
            <w:r w:rsidRPr="0088074D">
              <w:rPr>
                <w:rFonts w:cs="Arial"/>
                <w:b/>
                <w:bCs/>
                <w:sz w:val="20"/>
                <w:szCs w:val="20"/>
              </w:rPr>
              <w:lastRenderedPageBreak/>
              <w:t>Social &amp; community networks</w:t>
            </w:r>
          </w:p>
        </w:tc>
        <w:tc>
          <w:tcPr>
            <w:tcW w:w="3269" w:type="dxa"/>
            <w:tcBorders>
              <w:top w:val="single" w:sz="4" w:space="0" w:color="auto"/>
              <w:bottom w:val="single" w:sz="4" w:space="0" w:color="auto"/>
            </w:tcBorders>
            <w:tcMar>
              <w:top w:w="0" w:type="dxa"/>
              <w:left w:w="108" w:type="dxa"/>
              <w:bottom w:w="0" w:type="dxa"/>
              <w:right w:w="108" w:type="dxa"/>
            </w:tcMar>
            <w:hideMark/>
          </w:tcPr>
          <w:p w14:paraId="507E085B" w14:textId="77777777" w:rsidR="0088074D" w:rsidRPr="0088074D" w:rsidRDefault="0088074D" w:rsidP="0088074D">
            <w:pPr>
              <w:spacing w:after="120"/>
              <w:jc w:val="center"/>
              <w:rPr>
                <w:rFonts w:cs="Arial"/>
                <w:b/>
                <w:bCs/>
                <w:sz w:val="20"/>
                <w:szCs w:val="20"/>
              </w:rPr>
            </w:pPr>
            <w:r w:rsidRPr="0088074D">
              <w:rPr>
                <w:rFonts w:cs="Arial"/>
                <w:b/>
                <w:bCs/>
                <w:sz w:val="20"/>
                <w:szCs w:val="20"/>
              </w:rPr>
              <w:t xml:space="preserve">Neighbourhood </w:t>
            </w:r>
            <w:r w:rsidR="00FD0BB2">
              <w:rPr>
                <w:rFonts w:cs="Arial"/>
                <w:b/>
                <w:bCs/>
                <w:sz w:val="20"/>
                <w:szCs w:val="20"/>
              </w:rPr>
              <w:t>c</w:t>
            </w:r>
            <w:r w:rsidRPr="0088074D">
              <w:rPr>
                <w:rFonts w:cs="Arial"/>
                <w:b/>
                <w:bCs/>
                <w:sz w:val="20"/>
                <w:szCs w:val="20"/>
              </w:rPr>
              <w:t>onditions</w:t>
            </w:r>
          </w:p>
        </w:tc>
        <w:tc>
          <w:tcPr>
            <w:tcW w:w="3565" w:type="dxa"/>
            <w:tcBorders>
              <w:top w:val="single" w:sz="4" w:space="0" w:color="auto"/>
              <w:bottom w:val="single" w:sz="4" w:space="0" w:color="auto"/>
            </w:tcBorders>
            <w:tcMar>
              <w:top w:w="0" w:type="dxa"/>
              <w:left w:w="108" w:type="dxa"/>
              <w:bottom w:w="0" w:type="dxa"/>
              <w:right w:w="108" w:type="dxa"/>
            </w:tcMar>
            <w:hideMark/>
          </w:tcPr>
          <w:p w14:paraId="0E1376A9" w14:textId="77777777" w:rsidR="0088074D" w:rsidRPr="0088074D" w:rsidRDefault="0088074D" w:rsidP="0088074D">
            <w:pPr>
              <w:spacing w:after="120"/>
              <w:jc w:val="center"/>
              <w:rPr>
                <w:rFonts w:cs="Arial"/>
                <w:b/>
                <w:bCs/>
                <w:sz w:val="20"/>
                <w:szCs w:val="20"/>
              </w:rPr>
            </w:pPr>
            <w:r w:rsidRPr="0088074D">
              <w:rPr>
                <w:rFonts w:cs="Arial"/>
                <w:b/>
                <w:bCs/>
                <w:sz w:val="20"/>
                <w:szCs w:val="20"/>
              </w:rPr>
              <w:t xml:space="preserve">Health and </w:t>
            </w:r>
            <w:r w:rsidR="00FD0BB2">
              <w:rPr>
                <w:rFonts w:cs="Arial"/>
                <w:b/>
                <w:bCs/>
                <w:sz w:val="20"/>
                <w:szCs w:val="20"/>
              </w:rPr>
              <w:t>w</w:t>
            </w:r>
            <w:r w:rsidRPr="0088074D">
              <w:rPr>
                <w:rFonts w:cs="Arial"/>
                <w:b/>
                <w:bCs/>
                <w:sz w:val="20"/>
                <w:szCs w:val="20"/>
              </w:rPr>
              <w:t xml:space="preserve">ellbeing </w:t>
            </w:r>
            <w:r w:rsidR="00FD0BB2">
              <w:rPr>
                <w:rFonts w:cs="Arial"/>
                <w:b/>
                <w:bCs/>
                <w:sz w:val="20"/>
                <w:szCs w:val="20"/>
              </w:rPr>
              <w:t>o</w:t>
            </w:r>
            <w:r w:rsidRPr="0088074D">
              <w:rPr>
                <w:rFonts w:cs="Arial"/>
                <w:b/>
                <w:bCs/>
                <w:sz w:val="20"/>
                <w:szCs w:val="20"/>
              </w:rPr>
              <w:t>utcomes</w:t>
            </w:r>
          </w:p>
        </w:tc>
      </w:tr>
      <w:tr w:rsidR="0088074D" w:rsidRPr="0088074D" w14:paraId="589EE76D" w14:textId="77777777" w:rsidTr="0004107A">
        <w:trPr>
          <w:trHeight w:val="5811"/>
        </w:trPr>
        <w:tc>
          <w:tcPr>
            <w:tcW w:w="3268" w:type="dxa"/>
            <w:tcBorders>
              <w:top w:val="single" w:sz="4" w:space="0" w:color="auto"/>
            </w:tcBorders>
            <w:tcMar>
              <w:top w:w="0" w:type="dxa"/>
              <w:left w:w="108" w:type="dxa"/>
              <w:bottom w:w="0" w:type="dxa"/>
              <w:right w:w="108" w:type="dxa"/>
            </w:tcMar>
            <w:hideMark/>
          </w:tcPr>
          <w:p w14:paraId="11569B8D" w14:textId="77777777" w:rsidR="0088074D" w:rsidRPr="0088074D" w:rsidRDefault="0088074D" w:rsidP="0088074D">
            <w:pPr>
              <w:spacing w:after="120"/>
              <w:rPr>
                <w:rFonts w:cs="Arial"/>
                <w:sz w:val="20"/>
                <w:szCs w:val="20"/>
              </w:rPr>
            </w:pPr>
            <w:r w:rsidRPr="0088074D">
              <w:rPr>
                <w:rFonts w:cs="Arial"/>
                <w:sz w:val="20"/>
                <w:szCs w:val="20"/>
              </w:rPr>
              <w:t>Feelings of safety walking alone at night:</w:t>
            </w:r>
          </w:p>
          <w:p w14:paraId="429A2426" w14:textId="77777777" w:rsidR="0088074D" w:rsidRDefault="0088074D" w:rsidP="0088074D">
            <w:pPr>
              <w:spacing w:after="120"/>
              <w:rPr>
                <w:rFonts w:cs="Arial"/>
                <w:sz w:val="20"/>
                <w:szCs w:val="20"/>
              </w:rPr>
            </w:pPr>
            <w:r w:rsidRPr="0088074D">
              <w:rPr>
                <w:rFonts w:cs="Arial"/>
                <w:sz w:val="20"/>
                <w:szCs w:val="20"/>
              </w:rPr>
              <w:t xml:space="preserve"> </w:t>
            </w:r>
            <w:r w:rsidR="00074A0A">
              <w:rPr>
                <w:rFonts w:cs="Arial"/>
                <w:sz w:val="20"/>
                <w:szCs w:val="20"/>
              </w:rPr>
              <w:t xml:space="preserve">  </w:t>
            </w:r>
            <w:r w:rsidRPr="0088074D">
              <w:rPr>
                <w:rFonts w:cs="Arial"/>
                <w:sz w:val="20"/>
                <w:szCs w:val="20"/>
              </w:rPr>
              <w:t>32 women feel safe; 61 men feel safe</w:t>
            </w:r>
          </w:p>
          <w:p w14:paraId="2E699AED" w14:textId="77777777" w:rsidR="00074A0A" w:rsidRDefault="00074A0A" w:rsidP="0088074D">
            <w:pPr>
              <w:spacing w:after="120"/>
              <w:rPr>
                <w:rFonts w:cs="Arial"/>
                <w:sz w:val="20"/>
                <w:szCs w:val="20"/>
              </w:rPr>
            </w:pPr>
          </w:p>
          <w:p w14:paraId="246936C3" w14:textId="77777777" w:rsidR="00074A0A" w:rsidRDefault="00074A0A" w:rsidP="00074A0A">
            <w:pPr>
              <w:spacing w:after="120"/>
              <w:rPr>
                <w:rFonts w:cs="Arial"/>
                <w:sz w:val="20"/>
                <w:szCs w:val="20"/>
              </w:rPr>
            </w:pPr>
            <w:r w:rsidRPr="0088074D">
              <w:rPr>
                <w:rFonts w:cs="Arial"/>
                <w:sz w:val="20"/>
                <w:szCs w:val="20"/>
              </w:rPr>
              <w:t>82 adults trust their neighbours</w:t>
            </w:r>
          </w:p>
          <w:p w14:paraId="7366A74F" w14:textId="77777777" w:rsidR="00074A0A" w:rsidRDefault="00074A0A" w:rsidP="00074A0A">
            <w:pPr>
              <w:rPr>
                <w:rFonts w:cs="Arial"/>
                <w:sz w:val="20"/>
                <w:szCs w:val="20"/>
              </w:rPr>
            </w:pPr>
          </w:p>
          <w:p w14:paraId="442D850C" w14:textId="77777777" w:rsidR="00074A0A" w:rsidRDefault="00074A0A" w:rsidP="00074A0A">
            <w:pPr>
              <w:rPr>
                <w:rFonts w:cs="Arial"/>
                <w:sz w:val="20"/>
                <w:szCs w:val="20"/>
              </w:rPr>
            </w:pPr>
            <w:r>
              <w:rPr>
                <w:rFonts w:cs="Arial"/>
                <w:sz w:val="20"/>
                <w:szCs w:val="20"/>
              </w:rPr>
              <w:t xml:space="preserve"> </w:t>
            </w:r>
            <w:r w:rsidRPr="0088074D">
              <w:rPr>
                <w:rFonts w:cs="Arial"/>
                <w:sz w:val="20"/>
                <w:szCs w:val="20"/>
              </w:rPr>
              <w:t>67 adults feel connected to their local community</w:t>
            </w:r>
          </w:p>
          <w:p w14:paraId="2156073C" w14:textId="77777777" w:rsidR="00074A0A" w:rsidRDefault="00074A0A" w:rsidP="00074A0A">
            <w:pPr>
              <w:rPr>
                <w:color w:val="538135" w:themeColor="accent6" w:themeShade="BF"/>
                <w:sz w:val="20"/>
                <w:szCs w:val="20"/>
              </w:rPr>
            </w:pPr>
            <w:r w:rsidRPr="00074A0A">
              <w:rPr>
                <w:color w:val="538135" w:themeColor="accent6" w:themeShade="BF"/>
                <w:sz w:val="20"/>
                <w:szCs w:val="20"/>
              </w:rPr>
              <w:t xml:space="preserve"> Strathmore heights </w:t>
            </w:r>
            <w:r w:rsidRPr="00AA0918">
              <w:rPr>
                <w:sz w:val="20"/>
                <w:szCs w:val="20"/>
              </w:rPr>
              <w:t xml:space="preserve">felt the most connected and the least connected was </w:t>
            </w:r>
            <w:r w:rsidRPr="00074A0A">
              <w:rPr>
                <w:color w:val="538135" w:themeColor="accent6" w:themeShade="BF"/>
                <w:sz w:val="20"/>
                <w:szCs w:val="20"/>
              </w:rPr>
              <w:t>Avondale heights</w:t>
            </w:r>
          </w:p>
          <w:p w14:paraId="7C605585" w14:textId="77777777" w:rsidR="00074A0A" w:rsidRDefault="00074A0A" w:rsidP="00074A0A">
            <w:pPr>
              <w:rPr>
                <w:color w:val="538135" w:themeColor="accent6" w:themeShade="BF"/>
                <w:sz w:val="20"/>
                <w:szCs w:val="20"/>
              </w:rPr>
            </w:pPr>
            <w:r w:rsidRPr="0088074D">
              <w:rPr>
                <w:rFonts w:cs="Arial"/>
                <w:sz w:val="20"/>
                <w:szCs w:val="20"/>
              </w:rPr>
              <w:t>18 Volunteer</w:t>
            </w:r>
            <w:r w:rsidRPr="00074A0A">
              <w:rPr>
                <w:color w:val="538135" w:themeColor="accent6" w:themeShade="BF"/>
                <w:sz w:val="20"/>
                <w:szCs w:val="20"/>
              </w:rPr>
              <w:t xml:space="preserve"> </w:t>
            </w:r>
          </w:p>
          <w:p w14:paraId="16BDCF86" w14:textId="77777777" w:rsidR="00074A0A" w:rsidRPr="00074A0A" w:rsidRDefault="00074A0A" w:rsidP="00074A0A">
            <w:pPr>
              <w:rPr>
                <w:sz w:val="20"/>
                <w:szCs w:val="20"/>
              </w:rPr>
            </w:pPr>
            <w:r w:rsidRPr="0088074D">
              <w:rPr>
                <w:rFonts w:cs="Arial"/>
                <w:sz w:val="20"/>
                <w:szCs w:val="20"/>
              </w:rPr>
              <w:t>21 households don’t have internet access</w:t>
            </w:r>
          </w:p>
          <w:p w14:paraId="0ACEF311" w14:textId="77777777" w:rsidR="00074A0A" w:rsidRPr="0088074D" w:rsidRDefault="00074A0A" w:rsidP="0088074D">
            <w:pPr>
              <w:spacing w:after="120"/>
              <w:rPr>
                <w:rFonts w:cs="Arial"/>
                <w:sz w:val="20"/>
                <w:szCs w:val="20"/>
              </w:rPr>
            </w:pPr>
          </w:p>
        </w:tc>
        <w:tc>
          <w:tcPr>
            <w:tcW w:w="3269" w:type="dxa"/>
            <w:tcBorders>
              <w:top w:val="single" w:sz="4" w:space="0" w:color="auto"/>
            </w:tcBorders>
            <w:tcMar>
              <w:top w:w="0" w:type="dxa"/>
              <w:left w:w="108" w:type="dxa"/>
              <w:bottom w:w="0" w:type="dxa"/>
              <w:right w:w="108" w:type="dxa"/>
            </w:tcMar>
            <w:hideMark/>
          </w:tcPr>
          <w:p w14:paraId="404F8D2C" w14:textId="77777777" w:rsidR="0088074D" w:rsidRDefault="0088074D" w:rsidP="0088074D">
            <w:pPr>
              <w:spacing w:after="120"/>
              <w:rPr>
                <w:rFonts w:cs="Arial"/>
                <w:sz w:val="20"/>
                <w:szCs w:val="20"/>
              </w:rPr>
            </w:pPr>
            <w:r w:rsidRPr="0088074D">
              <w:rPr>
                <w:rFonts w:cs="Arial"/>
                <w:sz w:val="20"/>
                <w:szCs w:val="20"/>
              </w:rPr>
              <w:t>19 adults travel to work by public transport</w:t>
            </w:r>
          </w:p>
          <w:p w14:paraId="27819681" w14:textId="77777777" w:rsidR="00074A0A" w:rsidRDefault="00074A0A" w:rsidP="0088074D">
            <w:pPr>
              <w:spacing w:after="120"/>
              <w:rPr>
                <w:rFonts w:cs="Arial"/>
                <w:sz w:val="20"/>
                <w:szCs w:val="20"/>
              </w:rPr>
            </w:pPr>
          </w:p>
          <w:p w14:paraId="31779F24" w14:textId="77777777" w:rsidR="00074A0A" w:rsidRDefault="00074A0A" w:rsidP="00074A0A">
            <w:pPr>
              <w:autoSpaceDE w:val="0"/>
              <w:autoSpaceDN w:val="0"/>
              <w:rPr>
                <w:rFonts w:cs="Arial"/>
                <w:sz w:val="20"/>
                <w:szCs w:val="20"/>
              </w:rPr>
            </w:pPr>
            <w:r w:rsidRPr="0088074D">
              <w:rPr>
                <w:rFonts w:cs="Arial"/>
                <w:sz w:val="20"/>
                <w:szCs w:val="20"/>
              </w:rPr>
              <w:t>High levels of neighbourhood disadvantage in some areas</w:t>
            </w:r>
          </w:p>
          <w:p w14:paraId="5520FE78" w14:textId="77777777" w:rsidR="00074A0A" w:rsidRPr="00AA0918" w:rsidRDefault="00074A0A" w:rsidP="00074A0A">
            <w:pPr>
              <w:rPr>
                <w:sz w:val="20"/>
                <w:szCs w:val="20"/>
              </w:rPr>
            </w:pPr>
            <w:r>
              <w:rPr>
                <w:sz w:val="20"/>
                <w:szCs w:val="20"/>
              </w:rPr>
              <w:t xml:space="preserve">i.e. </w:t>
            </w:r>
            <w:r w:rsidRPr="00074A0A">
              <w:rPr>
                <w:color w:val="538135" w:themeColor="accent6" w:themeShade="BF"/>
                <w:sz w:val="20"/>
                <w:szCs w:val="20"/>
              </w:rPr>
              <w:t xml:space="preserve">Flemington, Ascot Vale, Avondale Heights </w:t>
            </w:r>
            <w:r w:rsidRPr="00AA0918">
              <w:rPr>
                <w:sz w:val="20"/>
                <w:szCs w:val="20"/>
              </w:rPr>
              <w:t xml:space="preserve">and </w:t>
            </w:r>
            <w:r w:rsidRPr="00074A0A">
              <w:rPr>
                <w:color w:val="538135" w:themeColor="accent6" w:themeShade="BF"/>
                <w:sz w:val="20"/>
                <w:szCs w:val="20"/>
              </w:rPr>
              <w:t>Milleara</w:t>
            </w:r>
            <w:r w:rsidRPr="00AA0918">
              <w:rPr>
                <w:sz w:val="20"/>
                <w:szCs w:val="20"/>
              </w:rPr>
              <w:t xml:space="preserve"> </w:t>
            </w:r>
          </w:p>
          <w:p w14:paraId="6DCF2BFD" w14:textId="77777777" w:rsidR="00074A0A" w:rsidRPr="0088074D" w:rsidRDefault="00074A0A" w:rsidP="0088074D">
            <w:pPr>
              <w:spacing w:after="120"/>
              <w:rPr>
                <w:rFonts w:cs="Arial"/>
                <w:sz w:val="20"/>
                <w:szCs w:val="20"/>
              </w:rPr>
            </w:pPr>
          </w:p>
        </w:tc>
        <w:tc>
          <w:tcPr>
            <w:tcW w:w="3565" w:type="dxa"/>
            <w:tcBorders>
              <w:top w:val="single" w:sz="4" w:space="0" w:color="auto"/>
            </w:tcBorders>
            <w:tcMar>
              <w:top w:w="0" w:type="dxa"/>
              <w:left w:w="108" w:type="dxa"/>
              <w:bottom w:w="0" w:type="dxa"/>
              <w:right w:w="108" w:type="dxa"/>
            </w:tcMar>
          </w:tcPr>
          <w:p w14:paraId="3FD7866A" w14:textId="77777777" w:rsidR="0088074D" w:rsidRDefault="0088074D" w:rsidP="0088074D">
            <w:pPr>
              <w:spacing w:after="120"/>
              <w:rPr>
                <w:rFonts w:cs="Arial"/>
                <w:sz w:val="20"/>
                <w:szCs w:val="20"/>
              </w:rPr>
            </w:pPr>
            <w:r w:rsidRPr="0088074D">
              <w:rPr>
                <w:rFonts w:cs="Arial"/>
                <w:sz w:val="20"/>
                <w:szCs w:val="20"/>
              </w:rPr>
              <w:t>70 adults rate their general health as good or very good</w:t>
            </w:r>
          </w:p>
          <w:p w14:paraId="4A4C73F0" w14:textId="77777777" w:rsidR="00074A0A" w:rsidRPr="0088074D" w:rsidRDefault="00074A0A" w:rsidP="0088074D">
            <w:pPr>
              <w:spacing w:after="120"/>
              <w:rPr>
                <w:rFonts w:cs="Arial"/>
                <w:sz w:val="20"/>
                <w:szCs w:val="20"/>
              </w:rPr>
            </w:pPr>
          </w:p>
          <w:p w14:paraId="72089973" w14:textId="77777777" w:rsidR="00074A0A" w:rsidRDefault="00074A0A" w:rsidP="00074A0A">
            <w:pPr>
              <w:spacing w:after="120"/>
              <w:rPr>
                <w:rFonts w:cs="Arial"/>
                <w:sz w:val="20"/>
                <w:szCs w:val="20"/>
              </w:rPr>
            </w:pPr>
            <w:r w:rsidRPr="0088074D">
              <w:rPr>
                <w:rFonts w:cs="Arial"/>
                <w:sz w:val="20"/>
                <w:szCs w:val="20"/>
              </w:rPr>
              <w:t>30 adults diagnosed with anxiety or depression</w:t>
            </w:r>
          </w:p>
          <w:p w14:paraId="4EF3B3C2" w14:textId="77777777" w:rsidR="00074A0A" w:rsidRPr="0088074D" w:rsidRDefault="00074A0A" w:rsidP="00074A0A">
            <w:pPr>
              <w:spacing w:after="120"/>
              <w:rPr>
                <w:rFonts w:cs="Arial"/>
                <w:sz w:val="20"/>
                <w:szCs w:val="20"/>
              </w:rPr>
            </w:pPr>
          </w:p>
          <w:p w14:paraId="7643F15D" w14:textId="77777777" w:rsidR="0088074D" w:rsidRDefault="00074A0A" w:rsidP="00074A0A">
            <w:pPr>
              <w:spacing w:after="120"/>
              <w:rPr>
                <w:rFonts w:cs="Arial"/>
                <w:sz w:val="20"/>
                <w:szCs w:val="20"/>
              </w:rPr>
            </w:pPr>
            <w:r w:rsidRPr="0088074D">
              <w:rPr>
                <w:rFonts w:cs="Arial"/>
                <w:sz w:val="20"/>
                <w:szCs w:val="20"/>
              </w:rPr>
              <w:t>20 young people are psychologically distressed</w:t>
            </w:r>
          </w:p>
          <w:p w14:paraId="278F7F76" w14:textId="77777777" w:rsidR="00074A0A" w:rsidRDefault="00074A0A" w:rsidP="00074A0A">
            <w:pPr>
              <w:spacing w:after="120"/>
              <w:rPr>
                <w:rFonts w:cs="Arial"/>
                <w:sz w:val="20"/>
                <w:szCs w:val="20"/>
              </w:rPr>
            </w:pPr>
          </w:p>
          <w:p w14:paraId="4719A350" w14:textId="003527D3" w:rsidR="00074A0A" w:rsidRDefault="00074A0A" w:rsidP="00074A0A">
            <w:pPr>
              <w:spacing w:after="120"/>
              <w:rPr>
                <w:rFonts w:cs="Arial"/>
                <w:sz w:val="20"/>
                <w:szCs w:val="20"/>
              </w:rPr>
            </w:pPr>
            <w:r w:rsidRPr="0088074D">
              <w:rPr>
                <w:rFonts w:cs="Arial"/>
                <w:sz w:val="20"/>
                <w:szCs w:val="20"/>
              </w:rPr>
              <w:t>46</w:t>
            </w:r>
            <w:r w:rsidR="00CD2D66">
              <w:rPr>
                <w:rFonts w:cs="Arial"/>
                <w:sz w:val="20"/>
                <w:szCs w:val="20"/>
              </w:rPr>
              <w:t xml:space="preserve"> </w:t>
            </w:r>
            <w:r w:rsidRPr="0088074D">
              <w:rPr>
                <w:rFonts w:cs="Arial"/>
                <w:sz w:val="20"/>
                <w:szCs w:val="20"/>
              </w:rPr>
              <w:t>unintentional injuries requiring hospitalisation caused by falls</w:t>
            </w:r>
          </w:p>
          <w:p w14:paraId="3D9B1EE9" w14:textId="77777777" w:rsidR="00074A0A" w:rsidRDefault="00074A0A" w:rsidP="00074A0A">
            <w:pPr>
              <w:spacing w:after="120"/>
              <w:rPr>
                <w:rFonts w:cs="Arial"/>
                <w:sz w:val="20"/>
                <w:szCs w:val="20"/>
              </w:rPr>
            </w:pPr>
          </w:p>
          <w:p w14:paraId="02FDAB3D" w14:textId="77777777" w:rsidR="00074A0A" w:rsidRPr="0088074D" w:rsidRDefault="00074A0A" w:rsidP="00074A0A">
            <w:pPr>
              <w:spacing w:after="120"/>
              <w:rPr>
                <w:rFonts w:cs="Arial"/>
                <w:sz w:val="20"/>
                <w:szCs w:val="20"/>
              </w:rPr>
            </w:pPr>
            <w:r w:rsidRPr="0088074D">
              <w:rPr>
                <w:rFonts w:cs="Arial"/>
                <w:sz w:val="20"/>
                <w:szCs w:val="20"/>
              </w:rPr>
              <w:t>13 deaths attributed to coronary heart disease</w:t>
            </w:r>
          </w:p>
        </w:tc>
      </w:tr>
    </w:tbl>
    <w:p w14:paraId="63211724" w14:textId="3173EDED" w:rsidR="0088074D" w:rsidRPr="00DA2278" w:rsidRDefault="0088074D" w:rsidP="0088074D">
      <w:pPr>
        <w:pStyle w:val="Heading3"/>
      </w:pPr>
      <w:r w:rsidRPr="0039503D">
        <w:t>Table</w:t>
      </w:r>
      <w:r w:rsidR="00EA337C" w:rsidRPr="0039503D">
        <w:t xml:space="preserve"> 1 continued</w:t>
      </w:r>
      <w:r w:rsidRPr="00DA2278">
        <w:t>: If our population were made-up of 100 people</w:t>
      </w:r>
    </w:p>
    <w:p w14:paraId="00B817C1" w14:textId="77777777" w:rsidR="00116EE0" w:rsidRDefault="00116EE0" w:rsidP="00074A0A">
      <w:pPr>
        <w:rPr>
          <w:rFonts w:cs="Arial"/>
          <w:sz w:val="18"/>
          <w:szCs w:val="18"/>
        </w:rPr>
      </w:pPr>
    </w:p>
    <w:p w14:paraId="143F43EC" w14:textId="5848ECFA" w:rsidR="00074A0A" w:rsidRDefault="00074A0A" w:rsidP="00074A0A">
      <w:pPr>
        <w:rPr>
          <w:rFonts w:cs="Arial"/>
        </w:rPr>
      </w:pPr>
      <w:r w:rsidRPr="00B2525C">
        <w:rPr>
          <w:rFonts w:cs="Arial"/>
          <w:sz w:val="18"/>
          <w:szCs w:val="18"/>
        </w:rPr>
        <w:t>Note: Percentages have been rounded up to the whole number where applicable. Demographic and individual behavioural data was collected before the COVID-19 pandemic.</w:t>
      </w:r>
    </w:p>
    <w:p w14:paraId="5A1D734C" w14:textId="0E477B68" w:rsidR="00074A0A" w:rsidRDefault="00074A0A" w:rsidP="0044073A">
      <w:pPr>
        <w:rPr>
          <w:rFonts w:cs="Arial"/>
        </w:rPr>
      </w:pPr>
    </w:p>
    <w:p w14:paraId="6755F628" w14:textId="77777777" w:rsidR="007D0646" w:rsidRDefault="007D0646" w:rsidP="0044073A">
      <w:pPr>
        <w:rPr>
          <w:rFonts w:cs="Arial"/>
        </w:rPr>
      </w:pPr>
    </w:p>
    <w:p w14:paraId="6A1EEF4A" w14:textId="0158DA27" w:rsidR="00D85242" w:rsidRDefault="00D85242" w:rsidP="003E0416">
      <w:pPr>
        <w:pStyle w:val="Heading3"/>
      </w:pPr>
      <w:r>
        <w:br w:type="page"/>
      </w:r>
    </w:p>
    <w:p w14:paraId="36DD1E26" w14:textId="0221EA1C" w:rsidR="0044073A" w:rsidRDefault="007C4970" w:rsidP="003E0416">
      <w:pPr>
        <w:pStyle w:val="Heading3"/>
      </w:pPr>
      <w:r w:rsidRPr="007C4970">
        <w:lastRenderedPageBreak/>
        <w:t>Table</w:t>
      </w:r>
      <w:r w:rsidR="00EA337C">
        <w:t xml:space="preserve"> 2</w:t>
      </w:r>
      <w:r w:rsidRPr="007C4970">
        <w:t xml:space="preserve">: </w:t>
      </w:r>
      <w:r w:rsidR="0044073A" w:rsidRPr="007C4970">
        <w:t xml:space="preserve">Emerging </w:t>
      </w:r>
      <w:r w:rsidR="00F757E8" w:rsidRPr="007C4970">
        <w:t xml:space="preserve">health and wellbeing </w:t>
      </w:r>
      <w:r w:rsidR="0044073A" w:rsidRPr="007C4970">
        <w:t>trends and issues</w:t>
      </w:r>
    </w:p>
    <w:p w14:paraId="5BDA7517" w14:textId="77777777" w:rsidR="00BD3DEF" w:rsidRPr="00BD3DEF" w:rsidRDefault="00BD3DEF" w:rsidP="00BD3DEF"/>
    <w:tbl>
      <w:tblPr>
        <w:tblpPr w:leftFromText="180" w:rightFromText="180" w:vertAnchor="text" w:horzAnchor="margin" w:tblpY="-33"/>
        <w:tblW w:w="9881"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048"/>
        <w:gridCol w:w="2762"/>
        <w:gridCol w:w="4071"/>
      </w:tblGrid>
      <w:tr w:rsidR="00D85242" w:rsidRPr="00392955" w14:paraId="60609FC3" w14:textId="77777777" w:rsidTr="0004107A">
        <w:trPr>
          <w:trHeight w:val="921"/>
        </w:trPr>
        <w:tc>
          <w:tcPr>
            <w:tcW w:w="3048" w:type="dxa"/>
            <w:tcBorders>
              <w:top w:val="single" w:sz="4" w:space="0" w:color="auto"/>
              <w:bottom w:val="single" w:sz="4" w:space="0" w:color="auto"/>
            </w:tcBorders>
            <w:tcMar>
              <w:top w:w="0" w:type="dxa"/>
              <w:left w:w="108" w:type="dxa"/>
              <w:bottom w:w="0" w:type="dxa"/>
              <w:right w:w="108" w:type="dxa"/>
            </w:tcMar>
          </w:tcPr>
          <w:p w14:paraId="66CAD2AA" w14:textId="77777777" w:rsidR="00D85242" w:rsidRPr="00392955" w:rsidRDefault="00D85242" w:rsidP="00074A0A">
            <w:pPr>
              <w:spacing w:after="120"/>
              <w:jc w:val="center"/>
              <w:rPr>
                <w:rFonts w:cs="Arial"/>
                <w:b/>
                <w:bCs/>
                <w:sz w:val="20"/>
                <w:szCs w:val="20"/>
              </w:rPr>
            </w:pPr>
            <w:r w:rsidRPr="00392955">
              <w:rPr>
                <w:rFonts w:cs="Arial"/>
                <w:b/>
                <w:bCs/>
                <w:sz w:val="20"/>
                <w:szCs w:val="20"/>
              </w:rPr>
              <w:t>Our people</w:t>
            </w:r>
          </w:p>
          <w:p w14:paraId="0E009F66" w14:textId="77777777" w:rsidR="00D85242" w:rsidRPr="00392955" w:rsidRDefault="00D85242" w:rsidP="00074A0A">
            <w:pPr>
              <w:spacing w:after="120"/>
              <w:jc w:val="center"/>
              <w:rPr>
                <w:rFonts w:cs="Arial"/>
                <w:b/>
                <w:bCs/>
                <w:sz w:val="20"/>
                <w:szCs w:val="20"/>
              </w:rPr>
            </w:pPr>
          </w:p>
        </w:tc>
        <w:tc>
          <w:tcPr>
            <w:tcW w:w="2762" w:type="dxa"/>
            <w:tcBorders>
              <w:top w:val="single" w:sz="4" w:space="0" w:color="auto"/>
              <w:bottom w:val="single" w:sz="4" w:space="0" w:color="auto"/>
            </w:tcBorders>
            <w:tcMar>
              <w:top w:w="0" w:type="dxa"/>
              <w:left w:w="108" w:type="dxa"/>
              <w:bottom w:w="0" w:type="dxa"/>
              <w:right w:w="108" w:type="dxa"/>
            </w:tcMar>
            <w:hideMark/>
          </w:tcPr>
          <w:p w14:paraId="48EFC526" w14:textId="77777777" w:rsidR="00D85242" w:rsidRPr="00392955" w:rsidRDefault="00D85242" w:rsidP="00074A0A">
            <w:pPr>
              <w:spacing w:after="120"/>
              <w:jc w:val="center"/>
              <w:rPr>
                <w:rFonts w:cs="Arial"/>
                <w:b/>
                <w:bCs/>
                <w:sz w:val="20"/>
                <w:szCs w:val="20"/>
              </w:rPr>
            </w:pPr>
            <w:r w:rsidRPr="00392955">
              <w:rPr>
                <w:rFonts w:cs="Arial"/>
                <w:b/>
                <w:bCs/>
                <w:sz w:val="20"/>
                <w:szCs w:val="20"/>
              </w:rPr>
              <w:t>Individual Behaviours</w:t>
            </w:r>
          </w:p>
        </w:tc>
        <w:tc>
          <w:tcPr>
            <w:tcW w:w="4071" w:type="dxa"/>
            <w:tcBorders>
              <w:top w:val="single" w:sz="4" w:space="0" w:color="auto"/>
              <w:bottom w:val="single" w:sz="4" w:space="0" w:color="auto"/>
            </w:tcBorders>
            <w:tcMar>
              <w:top w:w="0" w:type="dxa"/>
              <w:left w:w="108" w:type="dxa"/>
              <w:bottom w:w="0" w:type="dxa"/>
              <w:right w:w="108" w:type="dxa"/>
            </w:tcMar>
            <w:hideMark/>
          </w:tcPr>
          <w:p w14:paraId="316B2C61" w14:textId="77777777" w:rsidR="00D85242" w:rsidRPr="00392955" w:rsidRDefault="00D85242" w:rsidP="00074A0A">
            <w:pPr>
              <w:spacing w:after="120"/>
              <w:jc w:val="center"/>
              <w:rPr>
                <w:rFonts w:cs="Arial"/>
                <w:b/>
                <w:bCs/>
                <w:sz w:val="20"/>
                <w:szCs w:val="20"/>
              </w:rPr>
            </w:pPr>
            <w:r w:rsidRPr="00392955">
              <w:rPr>
                <w:rFonts w:cs="Arial"/>
                <w:b/>
                <w:bCs/>
                <w:sz w:val="20"/>
                <w:szCs w:val="20"/>
              </w:rPr>
              <w:t>Living and Working Conditions</w:t>
            </w:r>
          </w:p>
        </w:tc>
      </w:tr>
      <w:tr w:rsidR="00D85242" w:rsidRPr="00392955" w14:paraId="0F824670" w14:textId="77777777" w:rsidTr="0004107A">
        <w:trPr>
          <w:trHeight w:val="1106"/>
        </w:trPr>
        <w:tc>
          <w:tcPr>
            <w:tcW w:w="3048" w:type="dxa"/>
            <w:tcBorders>
              <w:top w:val="single" w:sz="4" w:space="0" w:color="auto"/>
              <w:bottom w:val="nil"/>
            </w:tcBorders>
            <w:tcMar>
              <w:top w:w="0" w:type="dxa"/>
              <w:left w:w="108" w:type="dxa"/>
              <w:bottom w:w="0" w:type="dxa"/>
              <w:right w:w="108" w:type="dxa"/>
            </w:tcMar>
          </w:tcPr>
          <w:p w14:paraId="75DDF200" w14:textId="77777777" w:rsidR="00D85242" w:rsidRPr="00392955" w:rsidRDefault="00D85242" w:rsidP="00074A0A">
            <w:pPr>
              <w:spacing w:after="120"/>
              <w:rPr>
                <w:rFonts w:cs="Arial"/>
                <w:sz w:val="20"/>
                <w:szCs w:val="20"/>
              </w:rPr>
            </w:pPr>
            <w:r w:rsidRPr="00392955">
              <w:rPr>
                <w:rFonts w:cs="Arial"/>
                <w:sz w:val="20"/>
                <w:szCs w:val="20"/>
              </w:rPr>
              <w:t>Ageing population</w:t>
            </w:r>
          </w:p>
          <w:p w14:paraId="5E99D4FF" w14:textId="77777777" w:rsidR="00D85242" w:rsidRPr="00392955" w:rsidRDefault="00D85242" w:rsidP="00074A0A">
            <w:pPr>
              <w:rPr>
                <w:rFonts w:cs="Arial"/>
                <w:sz w:val="20"/>
                <w:szCs w:val="20"/>
              </w:rPr>
            </w:pPr>
          </w:p>
        </w:tc>
        <w:tc>
          <w:tcPr>
            <w:tcW w:w="2762" w:type="dxa"/>
            <w:tcBorders>
              <w:top w:val="single" w:sz="4" w:space="0" w:color="auto"/>
              <w:bottom w:val="nil"/>
            </w:tcBorders>
            <w:tcMar>
              <w:top w:w="0" w:type="dxa"/>
              <w:left w:w="108" w:type="dxa"/>
              <w:bottom w:w="0" w:type="dxa"/>
              <w:right w:w="108" w:type="dxa"/>
            </w:tcMar>
            <w:hideMark/>
          </w:tcPr>
          <w:p w14:paraId="4E8D2329" w14:textId="77777777" w:rsidR="00D85242" w:rsidRPr="00392955" w:rsidRDefault="00D85242" w:rsidP="00074A0A">
            <w:pPr>
              <w:spacing w:after="120"/>
              <w:rPr>
                <w:rFonts w:cs="Arial"/>
                <w:sz w:val="20"/>
                <w:szCs w:val="20"/>
              </w:rPr>
            </w:pPr>
            <w:r w:rsidRPr="00392955">
              <w:rPr>
                <w:rFonts w:cs="Arial"/>
                <w:sz w:val="20"/>
                <w:szCs w:val="20"/>
              </w:rPr>
              <w:t xml:space="preserve">Increasing frequency of alcohol related hospital admissions </w:t>
            </w:r>
          </w:p>
        </w:tc>
        <w:tc>
          <w:tcPr>
            <w:tcW w:w="4071" w:type="dxa"/>
            <w:tcBorders>
              <w:top w:val="single" w:sz="4" w:space="0" w:color="auto"/>
              <w:bottom w:val="nil"/>
            </w:tcBorders>
            <w:tcMar>
              <w:top w:w="0" w:type="dxa"/>
              <w:left w:w="108" w:type="dxa"/>
              <w:bottom w:w="0" w:type="dxa"/>
              <w:right w:w="108" w:type="dxa"/>
            </w:tcMar>
            <w:hideMark/>
          </w:tcPr>
          <w:p w14:paraId="178AC4A6" w14:textId="77777777" w:rsidR="00D85242" w:rsidRPr="00392955" w:rsidRDefault="00D85242" w:rsidP="00074A0A">
            <w:pPr>
              <w:spacing w:after="120"/>
              <w:rPr>
                <w:rFonts w:cs="Arial"/>
                <w:sz w:val="20"/>
                <w:szCs w:val="20"/>
              </w:rPr>
            </w:pPr>
            <w:r w:rsidRPr="00392955">
              <w:rPr>
                <w:rFonts w:cs="Arial"/>
                <w:sz w:val="20"/>
                <w:szCs w:val="20"/>
              </w:rPr>
              <w:t>Higher levels of housing stress</w:t>
            </w:r>
          </w:p>
        </w:tc>
      </w:tr>
      <w:tr w:rsidR="00D85242" w:rsidRPr="00392955" w14:paraId="348FBE8C" w14:textId="77777777" w:rsidTr="0004107A">
        <w:trPr>
          <w:trHeight w:val="460"/>
        </w:trPr>
        <w:tc>
          <w:tcPr>
            <w:tcW w:w="3048" w:type="dxa"/>
            <w:tcBorders>
              <w:top w:val="nil"/>
              <w:bottom w:val="nil"/>
            </w:tcBorders>
            <w:tcMar>
              <w:top w:w="0" w:type="dxa"/>
              <w:left w:w="108" w:type="dxa"/>
              <w:bottom w:w="0" w:type="dxa"/>
              <w:right w:w="108" w:type="dxa"/>
            </w:tcMar>
            <w:hideMark/>
          </w:tcPr>
          <w:p w14:paraId="13D4E658" w14:textId="77777777" w:rsidR="00D85242" w:rsidRPr="00392955" w:rsidRDefault="00D85242" w:rsidP="00074A0A">
            <w:pPr>
              <w:spacing w:after="120"/>
              <w:rPr>
                <w:rFonts w:cs="Arial"/>
                <w:sz w:val="20"/>
                <w:szCs w:val="20"/>
              </w:rPr>
            </w:pPr>
            <w:r w:rsidRPr="00392955">
              <w:rPr>
                <w:rFonts w:cs="Arial"/>
                <w:sz w:val="20"/>
                <w:szCs w:val="20"/>
              </w:rPr>
              <w:t>Living alone increasing</w:t>
            </w:r>
          </w:p>
        </w:tc>
        <w:tc>
          <w:tcPr>
            <w:tcW w:w="2762" w:type="dxa"/>
            <w:tcBorders>
              <w:top w:val="nil"/>
              <w:bottom w:val="nil"/>
            </w:tcBorders>
            <w:tcMar>
              <w:top w:w="0" w:type="dxa"/>
              <w:left w:w="108" w:type="dxa"/>
              <w:bottom w:w="0" w:type="dxa"/>
              <w:right w:w="108" w:type="dxa"/>
            </w:tcMar>
          </w:tcPr>
          <w:p w14:paraId="69958586" w14:textId="77777777" w:rsidR="00D85242" w:rsidRPr="00392955" w:rsidRDefault="00D85242" w:rsidP="00074A0A">
            <w:pPr>
              <w:spacing w:after="120"/>
              <w:rPr>
                <w:rFonts w:cs="Arial"/>
                <w:sz w:val="20"/>
                <w:szCs w:val="20"/>
              </w:rPr>
            </w:pPr>
          </w:p>
        </w:tc>
        <w:tc>
          <w:tcPr>
            <w:tcW w:w="4071" w:type="dxa"/>
            <w:tcBorders>
              <w:top w:val="nil"/>
              <w:bottom w:val="nil"/>
            </w:tcBorders>
            <w:tcMar>
              <w:top w:w="0" w:type="dxa"/>
              <w:left w:w="108" w:type="dxa"/>
              <w:bottom w:w="0" w:type="dxa"/>
              <w:right w:w="108" w:type="dxa"/>
            </w:tcMar>
          </w:tcPr>
          <w:p w14:paraId="2830516E" w14:textId="77777777" w:rsidR="00D85242" w:rsidRPr="00392955" w:rsidRDefault="00D85242" w:rsidP="00074A0A">
            <w:pPr>
              <w:spacing w:after="120"/>
              <w:rPr>
                <w:rFonts w:cs="Arial"/>
                <w:sz w:val="20"/>
                <w:szCs w:val="20"/>
              </w:rPr>
            </w:pPr>
          </w:p>
        </w:tc>
      </w:tr>
    </w:tbl>
    <w:p w14:paraId="7BA6D426" w14:textId="2503493B" w:rsidR="00D85242" w:rsidRDefault="00D85242" w:rsidP="004B4692">
      <w:pPr>
        <w:rPr>
          <w:rFonts w:cs="Arial"/>
        </w:rPr>
      </w:pPr>
    </w:p>
    <w:tbl>
      <w:tblPr>
        <w:tblpPr w:leftFromText="180" w:rightFromText="180" w:vertAnchor="text" w:horzAnchor="margin" w:tblpY="313"/>
        <w:tblW w:w="9607" w:type="dxa"/>
        <w:tblCellMar>
          <w:left w:w="0" w:type="dxa"/>
          <w:right w:w="0" w:type="dxa"/>
        </w:tblCellMar>
        <w:tblLook w:val="04A0" w:firstRow="1" w:lastRow="0" w:firstColumn="1" w:lastColumn="0" w:noHBand="0" w:noVBand="1"/>
      </w:tblPr>
      <w:tblGrid>
        <w:gridCol w:w="2964"/>
        <w:gridCol w:w="2685"/>
        <w:gridCol w:w="3958"/>
      </w:tblGrid>
      <w:tr w:rsidR="00D85242" w:rsidRPr="00392955" w14:paraId="4970650C" w14:textId="77777777" w:rsidTr="0004107A">
        <w:trPr>
          <w:trHeight w:val="796"/>
        </w:trPr>
        <w:tc>
          <w:tcPr>
            <w:tcW w:w="2964" w:type="dxa"/>
            <w:tcBorders>
              <w:top w:val="single" w:sz="4" w:space="0" w:color="auto"/>
              <w:bottom w:val="single" w:sz="4" w:space="0" w:color="auto"/>
            </w:tcBorders>
            <w:tcMar>
              <w:top w:w="0" w:type="dxa"/>
              <w:left w:w="108" w:type="dxa"/>
              <w:bottom w:w="0" w:type="dxa"/>
              <w:right w:w="108" w:type="dxa"/>
            </w:tcMar>
            <w:hideMark/>
          </w:tcPr>
          <w:p w14:paraId="08984294" w14:textId="77777777" w:rsidR="00D85242" w:rsidRPr="00392955" w:rsidRDefault="00D85242" w:rsidP="00D85242">
            <w:pPr>
              <w:spacing w:after="120"/>
              <w:jc w:val="center"/>
              <w:rPr>
                <w:rFonts w:cs="Arial"/>
                <w:b/>
                <w:bCs/>
                <w:sz w:val="20"/>
                <w:szCs w:val="20"/>
              </w:rPr>
            </w:pPr>
            <w:r w:rsidRPr="00392955">
              <w:rPr>
                <w:rFonts w:cs="Arial"/>
                <w:b/>
                <w:bCs/>
                <w:sz w:val="20"/>
                <w:szCs w:val="20"/>
              </w:rPr>
              <w:t>Social &amp; community networks</w:t>
            </w:r>
          </w:p>
        </w:tc>
        <w:tc>
          <w:tcPr>
            <w:tcW w:w="2685" w:type="dxa"/>
            <w:tcBorders>
              <w:top w:val="single" w:sz="4" w:space="0" w:color="auto"/>
              <w:bottom w:val="single" w:sz="4" w:space="0" w:color="auto"/>
            </w:tcBorders>
            <w:tcMar>
              <w:top w:w="0" w:type="dxa"/>
              <w:left w:w="108" w:type="dxa"/>
              <w:bottom w:w="0" w:type="dxa"/>
              <w:right w:w="108" w:type="dxa"/>
            </w:tcMar>
            <w:hideMark/>
          </w:tcPr>
          <w:p w14:paraId="543EEB5A" w14:textId="77777777" w:rsidR="00D85242" w:rsidRPr="00392955" w:rsidRDefault="00D85242" w:rsidP="00D85242">
            <w:pPr>
              <w:spacing w:after="120"/>
              <w:jc w:val="center"/>
              <w:rPr>
                <w:rFonts w:cs="Arial"/>
                <w:b/>
                <w:bCs/>
                <w:sz w:val="20"/>
                <w:szCs w:val="20"/>
              </w:rPr>
            </w:pPr>
            <w:r w:rsidRPr="00392955">
              <w:rPr>
                <w:rFonts w:cs="Arial"/>
                <w:b/>
                <w:bCs/>
                <w:sz w:val="20"/>
                <w:szCs w:val="20"/>
              </w:rPr>
              <w:t>Neighbourhood Conditions</w:t>
            </w:r>
          </w:p>
        </w:tc>
        <w:tc>
          <w:tcPr>
            <w:tcW w:w="3958" w:type="dxa"/>
            <w:tcBorders>
              <w:top w:val="single" w:sz="4" w:space="0" w:color="auto"/>
              <w:bottom w:val="single" w:sz="4" w:space="0" w:color="auto"/>
            </w:tcBorders>
            <w:tcMar>
              <w:top w:w="0" w:type="dxa"/>
              <w:left w:w="108" w:type="dxa"/>
              <w:bottom w:w="0" w:type="dxa"/>
              <w:right w:w="108" w:type="dxa"/>
            </w:tcMar>
            <w:hideMark/>
          </w:tcPr>
          <w:p w14:paraId="0CD7AF65" w14:textId="77777777" w:rsidR="00D85242" w:rsidRPr="00392955" w:rsidRDefault="00D85242" w:rsidP="00D85242">
            <w:pPr>
              <w:spacing w:after="120"/>
              <w:jc w:val="center"/>
              <w:rPr>
                <w:rFonts w:cs="Arial"/>
                <w:b/>
                <w:bCs/>
                <w:sz w:val="20"/>
                <w:szCs w:val="20"/>
              </w:rPr>
            </w:pPr>
            <w:r w:rsidRPr="00392955">
              <w:rPr>
                <w:rFonts w:cs="Arial"/>
                <w:b/>
                <w:bCs/>
                <w:sz w:val="20"/>
                <w:szCs w:val="20"/>
              </w:rPr>
              <w:t>Health and Wellbeing Outcomes</w:t>
            </w:r>
          </w:p>
        </w:tc>
      </w:tr>
      <w:tr w:rsidR="00D85242" w:rsidRPr="00392955" w14:paraId="1C7759BE" w14:textId="77777777" w:rsidTr="0004107A">
        <w:trPr>
          <w:trHeight w:val="918"/>
        </w:trPr>
        <w:tc>
          <w:tcPr>
            <w:tcW w:w="2964" w:type="dxa"/>
            <w:tcBorders>
              <w:top w:val="single" w:sz="4" w:space="0" w:color="auto"/>
            </w:tcBorders>
            <w:tcMar>
              <w:top w:w="0" w:type="dxa"/>
              <w:left w:w="108" w:type="dxa"/>
              <w:bottom w:w="0" w:type="dxa"/>
              <w:right w:w="108" w:type="dxa"/>
            </w:tcMar>
            <w:hideMark/>
          </w:tcPr>
          <w:p w14:paraId="77E14F67" w14:textId="77777777" w:rsidR="00D85242" w:rsidRPr="00392955" w:rsidRDefault="00D85242" w:rsidP="00D85242">
            <w:pPr>
              <w:spacing w:after="120"/>
              <w:rPr>
                <w:rFonts w:cs="Arial"/>
                <w:sz w:val="20"/>
                <w:szCs w:val="20"/>
              </w:rPr>
            </w:pPr>
            <w:r w:rsidRPr="00392955">
              <w:rPr>
                <w:rFonts w:cs="Arial"/>
                <w:sz w:val="20"/>
                <w:szCs w:val="20"/>
              </w:rPr>
              <w:t>Family violence increasing</w:t>
            </w:r>
          </w:p>
        </w:tc>
        <w:tc>
          <w:tcPr>
            <w:tcW w:w="2685" w:type="dxa"/>
            <w:vMerge w:val="restart"/>
            <w:tcBorders>
              <w:top w:val="single" w:sz="4" w:space="0" w:color="auto"/>
            </w:tcBorders>
            <w:tcMar>
              <w:top w:w="0" w:type="dxa"/>
              <w:left w:w="108" w:type="dxa"/>
              <w:bottom w:w="0" w:type="dxa"/>
              <w:right w:w="108" w:type="dxa"/>
            </w:tcMar>
            <w:hideMark/>
          </w:tcPr>
          <w:p w14:paraId="19B01EA7" w14:textId="77777777" w:rsidR="00D85242" w:rsidRPr="00392955" w:rsidRDefault="00D85242" w:rsidP="00D85242">
            <w:pPr>
              <w:rPr>
                <w:rFonts w:cs="Arial"/>
                <w:sz w:val="20"/>
                <w:szCs w:val="20"/>
              </w:rPr>
            </w:pPr>
            <w:r w:rsidRPr="00392955">
              <w:rPr>
                <w:rFonts w:cs="Arial"/>
                <w:sz w:val="20"/>
                <w:szCs w:val="20"/>
              </w:rPr>
              <w:t>Increase in health impacts of climate change (heatwaves and extreme heat, flooding and storm events, drought and reduced rainfall, air quality, greenhouse gas emissions,)</w:t>
            </w:r>
          </w:p>
        </w:tc>
        <w:tc>
          <w:tcPr>
            <w:tcW w:w="3958" w:type="dxa"/>
            <w:tcBorders>
              <w:top w:val="single" w:sz="4" w:space="0" w:color="auto"/>
            </w:tcBorders>
            <w:tcMar>
              <w:top w:w="0" w:type="dxa"/>
              <w:left w:w="108" w:type="dxa"/>
              <w:bottom w:w="0" w:type="dxa"/>
              <w:right w:w="108" w:type="dxa"/>
            </w:tcMar>
            <w:hideMark/>
          </w:tcPr>
          <w:p w14:paraId="1494A671" w14:textId="77777777" w:rsidR="00D85242" w:rsidRPr="00392955" w:rsidRDefault="00D85242" w:rsidP="00D85242">
            <w:pPr>
              <w:spacing w:after="120"/>
              <w:rPr>
                <w:rFonts w:cs="Arial"/>
                <w:sz w:val="20"/>
                <w:szCs w:val="20"/>
              </w:rPr>
            </w:pPr>
            <w:r w:rsidRPr="00392955">
              <w:rPr>
                <w:rFonts w:cs="Arial"/>
                <w:sz w:val="20"/>
                <w:szCs w:val="20"/>
              </w:rPr>
              <w:t>Psychological distress increasing</w:t>
            </w:r>
          </w:p>
          <w:p w14:paraId="25C1F240" w14:textId="77777777" w:rsidR="00D85242" w:rsidRPr="00392955" w:rsidRDefault="00D85242" w:rsidP="00D85242">
            <w:pPr>
              <w:spacing w:after="120"/>
              <w:rPr>
                <w:rFonts w:cs="Arial"/>
                <w:sz w:val="20"/>
                <w:szCs w:val="20"/>
              </w:rPr>
            </w:pPr>
            <w:r w:rsidRPr="00392955">
              <w:rPr>
                <w:rFonts w:cs="Arial"/>
                <w:sz w:val="20"/>
                <w:szCs w:val="20"/>
              </w:rPr>
              <w:t>Self-reported general health is worsening</w:t>
            </w:r>
          </w:p>
        </w:tc>
      </w:tr>
      <w:tr w:rsidR="00D85242" w:rsidRPr="00392955" w14:paraId="027CC8FD" w14:textId="77777777" w:rsidTr="0004107A">
        <w:trPr>
          <w:trHeight w:val="1469"/>
        </w:trPr>
        <w:tc>
          <w:tcPr>
            <w:tcW w:w="2964" w:type="dxa"/>
            <w:tcBorders>
              <w:bottom w:val="single" w:sz="4" w:space="0" w:color="auto"/>
            </w:tcBorders>
            <w:tcMar>
              <w:top w:w="0" w:type="dxa"/>
              <w:left w:w="108" w:type="dxa"/>
              <w:bottom w:w="0" w:type="dxa"/>
              <w:right w:w="108" w:type="dxa"/>
            </w:tcMar>
          </w:tcPr>
          <w:p w14:paraId="29BA955B" w14:textId="77777777" w:rsidR="00D85242" w:rsidRPr="00392955" w:rsidRDefault="00D85242" w:rsidP="00D85242">
            <w:pPr>
              <w:spacing w:after="120"/>
              <w:rPr>
                <w:rFonts w:cs="Arial"/>
                <w:sz w:val="20"/>
                <w:szCs w:val="20"/>
              </w:rPr>
            </w:pPr>
          </w:p>
        </w:tc>
        <w:tc>
          <w:tcPr>
            <w:tcW w:w="2685" w:type="dxa"/>
            <w:vMerge/>
            <w:tcBorders>
              <w:bottom w:val="single" w:sz="4" w:space="0" w:color="auto"/>
            </w:tcBorders>
            <w:tcMar>
              <w:top w:w="0" w:type="dxa"/>
              <w:left w:w="108" w:type="dxa"/>
              <w:bottom w:w="0" w:type="dxa"/>
              <w:right w:w="108" w:type="dxa"/>
            </w:tcMar>
          </w:tcPr>
          <w:p w14:paraId="76009AE6" w14:textId="77777777" w:rsidR="00D85242" w:rsidRPr="00392955" w:rsidRDefault="00D85242" w:rsidP="00D85242">
            <w:pPr>
              <w:spacing w:after="120"/>
              <w:rPr>
                <w:rFonts w:cs="Arial"/>
                <w:sz w:val="20"/>
                <w:szCs w:val="20"/>
              </w:rPr>
            </w:pPr>
          </w:p>
        </w:tc>
        <w:tc>
          <w:tcPr>
            <w:tcW w:w="3958" w:type="dxa"/>
            <w:tcBorders>
              <w:bottom w:val="single" w:sz="4" w:space="0" w:color="auto"/>
            </w:tcBorders>
            <w:tcMar>
              <w:top w:w="0" w:type="dxa"/>
              <w:left w:w="108" w:type="dxa"/>
              <w:bottom w:w="0" w:type="dxa"/>
              <w:right w:w="108" w:type="dxa"/>
            </w:tcMar>
            <w:hideMark/>
          </w:tcPr>
          <w:p w14:paraId="10435767" w14:textId="77777777" w:rsidR="00D85242" w:rsidRPr="00392955" w:rsidRDefault="00D85242" w:rsidP="00D85242">
            <w:pPr>
              <w:spacing w:after="120"/>
              <w:rPr>
                <w:rFonts w:cs="Arial"/>
                <w:sz w:val="20"/>
                <w:szCs w:val="20"/>
              </w:rPr>
            </w:pPr>
            <w:r w:rsidRPr="00392955">
              <w:rPr>
                <w:rFonts w:cs="Arial"/>
                <w:sz w:val="20"/>
                <w:szCs w:val="20"/>
              </w:rPr>
              <w:t>Alzheimer’s disease increasing</w:t>
            </w:r>
          </w:p>
        </w:tc>
      </w:tr>
    </w:tbl>
    <w:p w14:paraId="1E349909" w14:textId="66D36CD5" w:rsidR="004329C3" w:rsidRDefault="0004107A" w:rsidP="004329C3">
      <w:pPr>
        <w:rPr>
          <w:rFonts w:cs="Arial"/>
        </w:rPr>
      </w:pPr>
      <w:r>
        <w:rPr>
          <w:rFonts w:cs="Arial"/>
          <w:noProof/>
        </w:rPr>
        <w:drawing>
          <wp:inline distT="0" distB="0" distL="0" distR="0" wp14:anchorId="58030304" wp14:editId="6EF5B85F">
            <wp:extent cx="6232668" cy="307422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134FA77.tmp"/>
                    <pic:cNvPicPr/>
                  </pic:nvPicPr>
                  <pic:blipFill>
                    <a:blip r:embed="rId12">
                      <a:extLst>
                        <a:ext uri="{28A0092B-C50C-407E-A947-70E740481C1C}">
                          <a14:useLocalDpi xmlns:a14="http://schemas.microsoft.com/office/drawing/2010/main" val="0"/>
                        </a:ext>
                      </a:extLst>
                    </a:blip>
                    <a:stretch>
                      <a:fillRect/>
                    </a:stretch>
                  </pic:blipFill>
                  <pic:spPr>
                    <a:xfrm>
                      <a:off x="0" y="0"/>
                      <a:ext cx="6279526" cy="3097334"/>
                    </a:xfrm>
                    <a:prstGeom prst="rect">
                      <a:avLst/>
                    </a:prstGeom>
                  </pic:spPr>
                </pic:pic>
              </a:graphicData>
            </a:graphic>
          </wp:inline>
        </w:drawing>
      </w:r>
      <w:r w:rsidR="00B046AB" w:rsidRPr="00B2525C">
        <w:rPr>
          <w:rFonts w:cs="Arial"/>
        </w:rPr>
        <w:br w:type="page"/>
      </w:r>
    </w:p>
    <w:p w14:paraId="0D9CC48B" w14:textId="132CC080" w:rsidR="0004107A" w:rsidRPr="0004107A" w:rsidRDefault="00D73B12" w:rsidP="0004107A">
      <w:pPr>
        <w:pStyle w:val="Heading1"/>
        <w:ind w:left="720"/>
        <w:rPr>
          <w:rFonts w:cs="Arial"/>
        </w:rPr>
      </w:pPr>
      <w:bookmarkStart w:id="7" w:name="_Toc80014163"/>
      <w:r>
        <w:rPr>
          <w:rFonts w:cs="Arial"/>
        </w:rPr>
        <w:lastRenderedPageBreak/>
        <w:t>Contents</w:t>
      </w:r>
      <w:bookmarkEnd w:id="7"/>
    </w:p>
    <w:p w14:paraId="1A258645" w14:textId="77777777" w:rsidR="0004107A" w:rsidRPr="0004107A" w:rsidRDefault="0004107A" w:rsidP="0004107A"/>
    <w:p w14:paraId="23243461" w14:textId="77777777" w:rsidR="00116EE0" w:rsidRPr="00116EE0" w:rsidRDefault="00116EE0" w:rsidP="00116EE0">
      <w:pPr>
        <w:pStyle w:val="TOC1"/>
        <w:rPr>
          <w:rFonts w:ascii="Circular Std Book" w:hAnsi="Circular Std Book" w:cs="Circular Std Book"/>
          <w:sz w:val="24"/>
          <w:szCs w:val="24"/>
        </w:rPr>
      </w:pPr>
    </w:p>
    <w:p w14:paraId="48FE9362" w14:textId="2F4207C2" w:rsidR="00116EE0" w:rsidRPr="00116EE0" w:rsidRDefault="00116EE0">
      <w:pPr>
        <w:pStyle w:val="TOC1"/>
        <w:rPr>
          <w:rFonts w:ascii="Circular Std Book" w:eastAsiaTheme="minorEastAsia" w:hAnsi="Circular Std Book" w:cs="Circular Std Book"/>
          <w:noProof/>
          <w:sz w:val="24"/>
          <w:szCs w:val="24"/>
          <w:lang w:val="en-AU" w:eastAsia="en-AU"/>
        </w:rPr>
      </w:pPr>
      <w:r w:rsidRPr="00116EE0">
        <w:rPr>
          <w:rFonts w:ascii="Circular Std Book" w:hAnsi="Circular Std Book" w:cs="Circular Std Book"/>
          <w:b/>
          <w:sz w:val="24"/>
          <w:szCs w:val="24"/>
        </w:rPr>
        <w:fldChar w:fldCharType="begin"/>
      </w:r>
      <w:r w:rsidRPr="00116EE0">
        <w:rPr>
          <w:rFonts w:ascii="Circular Std Book" w:hAnsi="Circular Std Book" w:cs="Circular Std Book"/>
          <w:b/>
          <w:sz w:val="24"/>
          <w:szCs w:val="24"/>
        </w:rPr>
        <w:instrText xml:space="preserve"> TOC \o "1-1" \h \z \u </w:instrText>
      </w:r>
      <w:r w:rsidRPr="00116EE0">
        <w:rPr>
          <w:rFonts w:ascii="Circular Std Book" w:hAnsi="Circular Std Book" w:cs="Circular Std Book"/>
          <w:b/>
          <w:sz w:val="24"/>
          <w:szCs w:val="24"/>
        </w:rPr>
        <w:fldChar w:fldCharType="separate"/>
      </w:r>
      <w:hyperlink w:anchor="_Toc80014159" w:history="1">
        <w:r w:rsidRPr="00116EE0">
          <w:rPr>
            <w:rStyle w:val="Hyperlink"/>
            <w:rFonts w:ascii="Circular Std Book" w:hAnsi="Circular Std Book" w:cs="Circular Std Book"/>
            <w:noProof/>
            <w:sz w:val="24"/>
            <w:szCs w:val="24"/>
          </w:rPr>
          <w:t>Acknowledgement of Country</w:t>
        </w:r>
        <w:r w:rsidRPr="00116EE0">
          <w:rPr>
            <w:rFonts w:ascii="Circular Std Book" w:hAnsi="Circular Std Book" w:cs="Circular Std Book"/>
            <w:noProof/>
            <w:webHidden/>
            <w:sz w:val="24"/>
            <w:szCs w:val="24"/>
          </w:rPr>
          <w:tab/>
        </w:r>
        <w:r w:rsidRPr="00116EE0">
          <w:rPr>
            <w:rFonts w:ascii="Circular Std Book" w:hAnsi="Circular Std Book" w:cs="Circular Std Book"/>
            <w:noProof/>
            <w:webHidden/>
            <w:sz w:val="24"/>
            <w:szCs w:val="24"/>
          </w:rPr>
          <w:fldChar w:fldCharType="begin"/>
        </w:r>
        <w:r w:rsidRPr="00116EE0">
          <w:rPr>
            <w:rFonts w:ascii="Circular Std Book" w:hAnsi="Circular Std Book" w:cs="Circular Std Book"/>
            <w:noProof/>
            <w:webHidden/>
            <w:sz w:val="24"/>
            <w:szCs w:val="24"/>
          </w:rPr>
          <w:instrText xml:space="preserve"> PAGEREF _Toc80014159 \h </w:instrText>
        </w:r>
        <w:r w:rsidRPr="00116EE0">
          <w:rPr>
            <w:rFonts w:ascii="Circular Std Book" w:hAnsi="Circular Std Book" w:cs="Circular Std Book"/>
            <w:noProof/>
            <w:webHidden/>
            <w:sz w:val="24"/>
            <w:szCs w:val="24"/>
          </w:rPr>
        </w:r>
        <w:r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i</w:t>
        </w:r>
        <w:r w:rsidRPr="00116EE0">
          <w:rPr>
            <w:rFonts w:ascii="Circular Std Book" w:hAnsi="Circular Std Book" w:cs="Circular Std Book"/>
            <w:noProof/>
            <w:webHidden/>
            <w:sz w:val="24"/>
            <w:szCs w:val="24"/>
          </w:rPr>
          <w:fldChar w:fldCharType="end"/>
        </w:r>
      </w:hyperlink>
    </w:p>
    <w:p w14:paraId="7CB9EFBE" w14:textId="3DDF92FB" w:rsidR="00116EE0" w:rsidRPr="00116EE0" w:rsidRDefault="0082346F">
      <w:pPr>
        <w:pStyle w:val="TOC1"/>
        <w:rPr>
          <w:rFonts w:ascii="Circular Std Book" w:eastAsiaTheme="minorEastAsia" w:hAnsi="Circular Std Book" w:cs="Circular Std Book"/>
          <w:noProof/>
          <w:sz w:val="24"/>
          <w:szCs w:val="24"/>
          <w:lang w:val="en-AU" w:eastAsia="en-AU"/>
        </w:rPr>
      </w:pPr>
      <w:hyperlink w:anchor="_Toc80014161" w:history="1">
        <w:r w:rsidR="00116EE0" w:rsidRPr="00116EE0">
          <w:rPr>
            <w:rStyle w:val="Hyperlink"/>
            <w:rFonts w:ascii="Circular Std Book" w:hAnsi="Circular Std Book" w:cs="Circular Std Book"/>
            <w:noProof/>
            <w:sz w:val="24"/>
            <w:szCs w:val="24"/>
          </w:rPr>
          <w:t>Executive summary</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_Toc80014161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1</w:t>
        </w:r>
        <w:r w:rsidR="00116EE0" w:rsidRPr="00116EE0">
          <w:rPr>
            <w:rFonts w:ascii="Circular Std Book" w:hAnsi="Circular Std Book" w:cs="Circular Std Book"/>
            <w:noProof/>
            <w:webHidden/>
            <w:sz w:val="24"/>
            <w:szCs w:val="24"/>
          </w:rPr>
          <w:fldChar w:fldCharType="end"/>
        </w:r>
      </w:hyperlink>
    </w:p>
    <w:p w14:paraId="042F3CB8" w14:textId="2E96701F" w:rsidR="00116EE0" w:rsidRPr="00116EE0" w:rsidRDefault="0082346F">
      <w:pPr>
        <w:pStyle w:val="TOC1"/>
        <w:rPr>
          <w:rFonts w:ascii="Circular Std Book" w:eastAsiaTheme="minorEastAsia" w:hAnsi="Circular Std Book" w:cs="Circular Std Book"/>
          <w:noProof/>
          <w:sz w:val="24"/>
          <w:szCs w:val="24"/>
          <w:lang w:val="en-AU" w:eastAsia="en-AU"/>
        </w:rPr>
      </w:pPr>
      <w:hyperlink w:anchor="_Toc80014162" w:history="1">
        <w:r w:rsidR="00116EE0" w:rsidRPr="00116EE0">
          <w:rPr>
            <w:rStyle w:val="Hyperlink"/>
            <w:rFonts w:ascii="Circular Std Book" w:hAnsi="Circular Std Book" w:cs="Circular Std Book"/>
            <w:noProof/>
            <w:sz w:val="24"/>
            <w:szCs w:val="24"/>
          </w:rPr>
          <w:t>Summary statistics and emerging trends</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_Toc80014162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2</w:t>
        </w:r>
        <w:r w:rsidR="00116EE0" w:rsidRPr="00116EE0">
          <w:rPr>
            <w:rFonts w:ascii="Circular Std Book" w:hAnsi="Circular Std Book" w:cs="Circular Std Book"/>
            <w:noProof/>
            <w:webHidden/>
            <w:sz w:val="24"/>
            <w:szCs w:val="24"/>
          </w:rPr>
          <w:fldChar w:fldCharType="end"/>
        </w:r>
      </w:hyperlink>
    </w:p>
    <w:p w14:paraId="23391984" w14:textId="4F8F9AE5" w:rsidR="00116EE0" w:rsidRPr="00116EE0" w:rsidRDefault="0082346F">
      <w:pPr>
        <w:pStyle w:val="TOC1"/>
        <w:rPr>
          <w:rFonts w:ascii="Circular Std Book" w:eastAsiaTheme="minorEastAsia" w:hAnsi="Circular Std Book" w:cs="Circular Std Book"/>
          <w:noProof/>
          <w:sz w:val="24"/>
          <w:szCs w:val="24"/>
          <w:lang w:val="en-AU" w:eastAsia="en-AU"/>
        </w:rPr>
      </w:pPr>
      <w:hyperlink w:anchor="_Toc80014163" w:history="1">
        <w:r w:rsidR="00116EE0" w:rsidRPr="00116EE0">
          <w:rPr>
            <w:rStyle w:val="Hyperlink"/>
            <w:rFonts w:ascii="Circular Std Book" w:hAnsi="Circular Std Book" w:cs="Circular Std Book"/>
            <w:noProof/>
            <w:sz w:val="24"/>
            <w:szCs w:val="24"/>
          </w:rPr>
          <w:t>Contents</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_Toc80014163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5</w:t>
        </w:r>
        <w:r w:rsidR="00116EE0" w:rsidRPr="00116EE0">
          <w:rPr>
            <w:rFonts w:ascii="Circular Std Book" w:hAnsi="Circular Std Book" w:cs="Circular Std Book"/>
            <w:noProof/>
            <w:webHidden/>
            <w:sz w:val="24"/>
            <w:szCs w:val="24"/>
          </w:rPr>
          <w:fldChar w:fldCharType="end"/>
        </w:r>
      </w:hyperlink>
    </w:p>
    <w:p w14:paraId="6094990B" w14:textId="4C834E26" w:rsidR="00116EE0" w:rsidRPr="00116EE0" w:rsidRDefault="0082346F">
      <w:pPr>
        <w:pStyle w:val="TOC1"/>
        <w:tabs>
          <w:tab w:val="left" w:pos="440"/>
        </w:tabs>
        <w:rPr>
          <w:rFonts w:ascii="Circular Std Book" w:eastAsiaTheme="minorEastAsia" w:hAnsi="Circular Std Book" w:cs="Circular Std Book"/>
          <w:noProof/>
          <w:sz w:val="24"/>
          <w:szCs w:val="24"/>
          <w:lang w:val="en-AU" w:eastAsia="en-AU"/>
        </w:rPr>
      </w:pPr>
      <w:hyperlink w:anchor="_Toc80014164" w:history="1">
        <w:r w:rsidR="00116EE0" w:rsidRPr="00116EE0">
          <w:rPr>
            <w:rStyle w:val="Hyperlink"/>
            <w:rFonts w:ascii="Circular Std Book" w:hAnsi="Circular Std Book" w:cs="Circular Std Book"/>
            <w:noProof/>
            <w:sz w:val="24"/>
            <w:szCs w:val="24"/>
          </w:rPr>
          <w:t>1.</w:t>
        </w:r>
        <w:r w:rsidR="00116EE0" w:rsidRPr="00116EE0">
          <w:rPr>
            <w:rFonts w:ascii="Circular Std Book" w:eastAsiaTheme="minorEastAsia" w:hAnsi="Circular Std Book" w:cs="Circular Std Book"/>
            <w:noProof/>
            <w:sz w:val="24"/>
            <w:szCs w:val="24"/>
            <w:lang w:val="en-AU" w:eastAsia="en-AU"/>
          </w:rPr>
          <w:tab/>
        </w:r>
        <w:r w:rsidR="00116EE0" w:rsidRPr="00116EE0">
          <w:rPr>
            <w:rStyle w:val="Hyperlink"/>
            <w:rFonts w:ascii="Circular Std Book" w:hAnsi="Circular Std Book" w:cs="Circular Std Book"/>
            <w:noProof/>
            <w:sz w:val="24"/>
            <w:szCs w:val="24"/>
          </w:rPr>
          <w:t>Introduction</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_Toc80014164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6</w:t>
        </w:r>
        <w:r w:rsidR="00116EE0" w:rsidRPr="00116EE0">
          <w:rPr>
            <w:rFonts w:ascii="Circular Std Book" w:hAnsi="Circular Std Book" w:cs="Circular Std Book"/>
            <w:noProof/>
            <w:webHidden/>
            <w:sz w:val="24"/>
            <w:szCs w:val="24"/>
          </w:rPr>
          <w:fldChar w:fldCharType="end"/>
        </w:r>
      </w:hyperlink>
    </w:p>
    <w:p w14:paraId="3FC02EC3" w14:textId="34154163" w:rsidR="00116EE0" w:rsidRPr="00116EE0" w:rsidRDefault="0082346F">
      <w:pPr>
        <w:pStyle w:val="TOC1"/>
        <w:tabs>
          <w:tab w:val="left" w:pos="440"/>
        </w:tabs>
        <w:rPr>
          <w:rFonts w:ascii="Circular Std Book" w:eastAsiaTheme="minorEastAsia" w:hAnsi="Circular Std Book" w:cs="Circular Std Book"/>
          <w:noProof/>
          <w:sz w:val="24"/>
          <w:szCs w:val="24"/>
          <w:lang w:val="en-AU" w:eastAsia="en-AU"/>
        </w:rPr>
      </w:pPr>
      <w:hyperlink w:anchor="_Toc80014165" w:history="1">
        <w:r w:rsidR="00116EE0" w:rsidRPr="00116EE0">
          <w:rPr>
            <w:rStyle w:val="Hyperlink"/>
            <w:rFonts w:ascii="Circular Std Book" w:hAnsi="Circular Std Book" w:cs="Circular Std Book"/>
            <w:noProof/>
            <w:sz w:val="24"/>
            <w:szCs w:val="24"/>
          </w:rPr>
          <w:t>2.</w:t>
        </w:r>
        <w:r w:rsidR="00116EE0" w:rsidRPr="00116EE0">
          <w:rPr>
            <w:rFonts w:ascii="Circular Std Book" w:eastAsiaTheme="minorEastAsia" w:hAnsi="Circular Std Book" w:cs="Circular Std Book"/>
            <w:noProof/>
            <w:sz w:val="24"/>
            <w:szCs w:val="24"/>
            <w:lang w:val="en-AU" w:eastAsia="en-AU"/>
          </w:rPr>
          <w:tab/>
        </w:r>
        <w:r w:rsidR="00116EE0" w:rsidRPr="00116EE0">
          <w:rPr>
            <w:rStyle w:val="Hyperlink"/>
            <w:rFonts w:ascii="Circular Std Book" w:hAnsi="Circular Std Book" w:cs="Circular Std Book"/>
            <w:noProof/>
            <w:sz w:val="24"/>
            <w:szCs w:val="24"/>
          </w:rPr>
          <w:t>Our people</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_Toc80014165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16</w:t>
        </w:r>
        <w:r w:rsidR="00116EE0" w:rsidRPr="00116EE0">
          <w:rPr>
            <w:rFonts w:ascii="Circular Std Book" w:hAnsi="Circular Std Book" w:cs="Circular Std Book"/>
            <w:noProof/>
            <w:webHidden/>
            <w:sz w:val="24"/>
            <w:szCs w:val="24"/>
          </w:rPr>
          <w:fldChar w:fldCharType="end"/>
        </w:r>
      </w:hyperlink>
    </w:p>
    <w:p w14:paraId="4ACEBAAB" w14:textId="4CE6E055" w:rsidR="00116EE0" w:rsidRPr="00116EE0" w:rsidRDefault="0082346F">
      <w:pPr>
        <w:pStyle w:val="TOC1"/>
        <w:tabs>
          <w:tab w:val="left" w:pos="440"/>
        </w:tabs>
        <w:rPr>
          <w:rFonts w:ascii="Circular Std Book" w:eastAsiaTheme="minorEastAsia" w:hAnsi="Circular Std Book" w:cs="Circular Std Book"/>
          <w:noProof/>
          <w:sz w:val="24"/>
          <w:szCs w:val="24"/>
          <w:lang w:val="en-AU" w:eastAsia="en-AU"/>
        </w:rPr>
      </w:pPr>
      <w:hyperlink w:anchor="_Toc80014166" w:history="1">
        <w:r w:rsidR="00116EE0" w:rsidRPr="00116EE0">
          <w:rPr>
            <w:rStyle w:val="Hyperlink"/>
            <w:rFonts w:ascii="Circular Std Book" w:hAnsi="Circular Std Book" w:cs="Circular Std Book"/>
            <w:noProof/>
            <w:sz w:val="24"/>
            <w:szCs w:val="24"/>
          </w:rPr>
          <w:t>3.</w:t>
        </w:r>
        <w:r w:rsidR="00116EE0" w:rsidRPr="00116EE0">
          <w:rPr>
            <w:rFonts w:ascii="Circular Std Book" w:eastAsiaTheme="minorEastAsia" w:hAnsi="Circular Std Book" w:cs="Circular Std Book"/>
            <w:noProof/>
            <w:sz w:val="24"/>
            <w:szCs w:val="24"/>
            <w:lang w:val="en-AU" w:eastAsia="en-AU"/>
          </w:rPr>
          <w:tab/>
        </w:r>
        <w:r w:rsidR="00116EE0" w:rsidRPr="00116EE0">
          <w:rPr>
            <w:rStyle w:val="Hyperlink"/>
            <w:rFonts w:ascii="Circular Std Book" w:hAnsi="Circular Std Book" w:cs="Circular Std Book"/>
            <w:noProof/>
            <w:sz w:val="24"/>
            <w:szCs w:val="24"/>
          </w:rPr>
          <w:t>Individual behavioural factors influencing health and wellbeing</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_Toc80014166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33</w:t>
        </w:r>
        <w:r w:rsidR="00116EE0" w:rsidRPr="00116EE0">
          <w:rPr>
            <w:rFonts w:ascii="Circular Std Book" w:hAnsi="Circular Std Book" w:cs="Circular Std Book"/>
            <w:noProof/>
            <w:webHidden/>
            <w:sz w:val="24"/>
            <w:szCs w:val="24"/>
          </w:rPr>
          <w:fldChar w:fldCharType="end"/>
        </w:r>
      </w:hyperlink>
    </w:p>
    <w:p w14:paraId="77DC0510" w14:textId="196B74E6" w:rsidR="00116EE0" w:rsidRPr="00116EE0" w:rsidRDefault="0082346F">
      <w:pPr>
        <w:pStyle w:val="TOC1"/>
        <w:tabs>
          <w:tab w:val="left" w:pos="440"/>
        </w:tabs>
        <w:rPr>
          <w:rFonts w:ascii="Circular Std Book" w:eastAsiaTheme="minorEastAsia" w:hAnsi="Circular Std Book" w:cs="Circular Std Book"/>
          <w:noProof/>
          <w:sz w:val="24"/>
          <w:szCs w:val="24"/>
          <w:lang w:val="en-AU" w:eastAsia="en-AU"/>
        </w:rPr>
      </w:pPr>
      <w:hyperlink w:anchor="_Toc80014167" w:history="1">
        <w:r w:rsidR="00116EE0" w:rsidRPr="00116EE0">
          <w:rPr>
            <w:rStyle w:val="Hyperlink"/>
            <w:rFonts w:ascii="Circular Std Book" w:hAnsi="Circular Std Book" w:cs="Circular Std Book"/>
            <w:noProof/>
            <w:sz w:val="24"/>
            <w:szCs w:val="24"/>
          </w:rPr>
          <w:t>4.</w:t>
        </w:r>
        <w:r w:rsidR="00116EE0" w:rsidRPr="00116EE0">
          <w:rPr>
            <w:rFonts w:ascii="Circular Std Book" w:eastAsiaTheme="minorEastAsia" w:hAnsi="Circular Std Book" w:cs="Circular Std Book"/>
            <w:noProof/>
            <w:sz w:val="24"/>
            <w:szCs w:val="24"/>
            <w:lang w:val="en-AU" w:eastAsia="en-AU"/>
          </w:rPr>
          <w:tab/>
        </w:r>
        <w:r w:rsidR="00116EE0" w:rsidRPr="00116EE0">
          <w:rPr>
            <w:rStyle w:val="Hyperlink"/>
            <w:rFonts w:ascii="Circular Std Book" w:hAnsi="Circular Std Book" w:cs="Circular Std Book"/>
            <w:noProof/>
            <w:sz w:val="24"/>
            <w:szCs w:val="24"/>
          </w:rPr>
          <w:t>Individual living and working conditions</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_Toc80014167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45</w:t>
        </w:r>
        <w:r w:rsidR="00116EE0" w:rsidRPr="00116EE0">
          <w:rPr>
            <w:rFonts w:ascii="Circular Std Book" w:hAnsi="Circular Std Book" w:cs="Circular Std Book"/>
            <w:noProof/>
            <w:webHidden/>
            <w:sz w:val="24"/>
            <w:szCs w:val="24"/>
          </w:rPr>
          <w:fldChar w:fldCharType="end"/>
        </w:r>
      </w:hyperlink>
    </w:p>
    <w:p w14:paraId="4EBB39F0" w14:textId="430A5CDA" w:rsidR="00116EE0" w:rsidRPr="00116EE0" w:rsidRDefault="0082346F">
      <w:pPr>
        <w:pStyle w:val="TOC1"/>
        <w:tabs>
          <w:tab w:val="left" w:pos="440"/>
        </w:tabs>
        <w:rPr>
          <w:rFonts w:ascii="Circular Std Book" w:eastAsiaTheme="minorEastAsia" w:hAnsi="Circular Std Book" w:cs="Circular Std Book"/>
          <w:noProof/>
          <w:sz w:val="24"/>
          <w:szCs w:val="24"/>
          <w:lang w:val="en-AU" w:eastAsia="en-AU"/>
        </w:rPr>
      </w:pPr>
      <w:hyperlink w:anchor="_Toc80014168" w:history="1">
        <w:r w:rsidR="00116EE0" w:rsidRPr="00116EE0">
          <w:rPr>
            <w:rStyle w:val="Hyperlink"/>
            <w:rFonts w:ascii="Circular Std Book" w:hAnsi="Circular Std Book" w:cs="Circular Std Book"/>
            <w:noProof/>
            <w:sz w:val="24"/>
            <w:szCs w:val="24"/>
          </w:rPr>
          <w:t>5.</w:t>
        </w:r>
        <w:r w:rsidR="00116EE0" w:rsidRPr="00116EE0">
          <w:rPr>
            <w:rFonts w:ascii="Circular Std Book" w:eastAsiaTheme="minorEastAsia" w:hAnsi="Circular Std Book" w:cs="Circular Std Book"/>
            <w:noProof/>
            <w:sz w:val="24"/>
            <w:szCs w:val="24"/>
            <w:lang w:val="en-AU" w:eastAsia="en-AU"/>
          </w:rPr>
          <w:tab/>
        </w:r>
        <w:r w:rsidR="00116EE0" w:rsidRPr="00116EE0">
          <w:rPr>
            <w:rStyle w:val="Hyperlink"/>
            <w:rFonts w:ascii="Circular Std Book" w:hAnsi="Circular Std Book" w:cs="Circular Std Book"/>
            <w:noProof/>
            <w:sz w:val="24"/>
            <w:szCs w:val="24"/>
          </w:rPr>
          <w:t>Social and community networks</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_Toc80014168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58</w:t>
        </w:r>
        <w:r w:rsidR="00116EE0" w:rsidRPr="00116EE0">
          <w:rPr>
            <w:rFonts w:ascii="Circular Std Book" w:hAnsi="Circular Std Book" w:cs="Circular Std Book"/>
            <w:noProof/>
            <w:webHidden/>
            <w:sz w:val="24"/>
            <w:szCs w:val="24"/>
          </w:rPr>
          <w:fldChar w:fldCharType="end"/>
        </w:r>
      </w:hyperlink>
    </w:p>
    <w:p w14:paraId="7FAA813A" w14:textId="4BDD0A69" w:rsidR="00116EE0" w:rsidRPr="00116EE0" w:rsidRDefault="0082346F">
      <w:pPr>
        <w:pStyle w:val="TOC1"/>
        <w:tabs>
          <w:tab w:val="left" w:pos="440"/>
        </w:tabs>
        <w:rPr>
          <w:rFonts w:ascii="Circular Std Book" w:eastAsiaTheme="minorEastAsia" w:hAnsi="Circular Std Book" w:cs="Circular Std Book"/>
          <w:noProof/>
          <w:sz w:val="24"/>
          <w:szCs w:val="24"/>
          <w:lang w:val="en-AU" w:eastAsia="en-AU"/>
        </w:rPr>
      </w:pPr>
      <w:hyperlink w:anchor="_Toc80014169" w:history="1">
        <w:r w:rsidR="00116EE0" w:rsidRPr="00116EE0">
          <w:rPr>
            <w:rStyle w:val="Hyperlink"/>
            <w:rFonts w:ascii="Circular Std Book" w:hAnsi="Circular Std Book" w:cs="Circular Std Book"/>
            <w:noProof/>
            <w:sz w:val="24"/>
            <w:szCs w:val="24"/>
          </w:rPr>
          <w:t>6.</w:t>
        </w:r>
        <w:r w:rsidR="00116EE0" w:rsidRPr="00116EE0">
          <w:rPr>
            <w:rFonts w:ascii="Circular Std Book" w:eastAsiaTheme="minorEastAsia" w:hAnsi="Circular Std Book" w:cs="Circular Std Book"/>
            <w:noProof/>
            <w:sz w:val="24"/>
            <w:szCs w:val="24"/>
            <w:lang w:val="en-AU" w:eastAsia="en-AU"/>
          </w:rPr>
          <w:tab/>
        </w:r>
        <w:r w:rsidR="00116EE0" w:rsidRPr="00116EE0">
          <w:rPr>
            <w:rStyle w:val="Hyperlink"/>
            <w:rFonts w:ascii="Circular Std Book" w:hAnsi="Circular Std Book" w:cs="Circular Std Book"/>
            <w:noProof/>
            <w:sz w:val="24"/>
            <w:szCs w:val="24"/>
          </w:rPr>
          <w:t>Neighbourhood and environmental conditions</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_Toc80014169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65</w:t>
        </w:r>
        <w:r w:rsidR="00116EE0" w:rsidRPr="00116EE0">
          <w:rPr>
            <w:rFonts w:ascii="Circular Std Book" w:hAnsi="Circular Std Book" w:cs="Circular Std Book"/>
            <w:noProof/>
            <w:webHidden/>
            <w:sz w:val="24"/>
            <w:szCs w:val="24"/>
          </w:rPr>
          <w:fldChar w:fldCharType="end"/>
        </w:r>
      </w:hyperlink>
    </w:p>
    <w:p w14:paraId="4B2C947E" w14:textId="77B01A8C" w:rsidR="00116EE0" w:rsidRPr="00116EE0" w:rsidRDefault="0082346F">
      <w:pPr>
        <w:pStyle w:val="TOC1"/>
        <w:tabs>
          <w:tab w:val="left" w:pos="440"/>
        </w:tabs>
        <w:rPr>
          <w:rFonts w:ascii="Circular Std Book" w:eastAsiaTheme="minorEastAsia" w:hAnsi="Circular Std Book" w:cs="Circular Std Book"/>
          <w:noProof/>
          <w:sz w:val="24"/>
          <w:szCs w:val="24"/>
          <w:lang w:val="en-AU" w:eastAsia="en-AU"/>
        </w:rPr>
      </w:pPr>
      <w:hyperlink w:anchor="_Toc80014170" w:history="1">
        <w:r w:rsidR="00116EE0" w:rsidRPr="00116EE0">
          <w:rPr>
            <w:rStyle w:val="Hyperlink"/>
            <w:rFonts w:ascii="Circular Std Book" w:hAnsi="Circular Std Book" w:cs="Circular Std Book"/>
            <w:noProof/>
            <w:sz w:val="24"/>
            <w:szCs w:val="24"/>
          </w:rPr>
          <w:t>7.</w:t>
        </w:r>
        <w:r w:rsidR="00116EE0" w:rsidRPr="00116EE0">
          <w:rPr>
            <w:rFonts w:ascii="Circular Std Book" w:eastAsiaTheme="minorEastAsia" w:hAnsi="Circular Std Book" w:cs="Circular Std Book"/>
            <w:noProof/>
            <w:sz w:val="24"/>
            <w:szCs w:val="24"/>
            <w:lang w:val="en-AU" w:eastAsia="en-AU"/>
          </w:rPr>
          <w:tab/>
        </w:r>
        <w:r w:rsidR="00116EE0" w:rsidRPr="00116EE0">
          <w:rPr>
            <w:rStyle w:val="Hyperlink"/>
            <w:rFonts w:ascii="Circular Std Book" w:hAnsi="Circular Std Book" w:cs="Circular Std Book"/>
            <w:noProof/>
            <w:sz w:val="24"/>
            <w:szCs w:val="24"/>
          </w:rPr>
          <w:t>Health and wellbeing outcomes</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_Toc80014170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75</w:t>
        </w:r>
        <w:r w:rsidR="00116EE0" w:rsidRPr="00116EE0">
          <w:rPr>
            <w:rFonts w:ascii="Circular Std Book" w:hAnsi="Circular Std Book" w:cs="Circular Std Book"/>
            <w:noProof/>
            <w:webHidden/>
            <w:sz w:val="24"/>
            <w:szCs w:val="24"/>
          </w:rPr>
          <w:fldChar w:fldCharType="end"/>
        </w:r>
      </w:hyperlink>
    </w:p>
    <w:p w14:paraId="08497A85" w14:textId="5AD1D2A7" w:rsidR="00116EE0" w:rsidRPr="00116EE0" w:rsidRDefault="0082346F">
      <w:pPr>
        <w:pStyle w:val="TOC1"/>
        <w:rPr>
          <w:rFonts w:ascii="Circular Std Book" w:eastAsiaTheme="minorEastAsia" w:hAnsi="Circular Std Book" w:cs="Circular Std Book"/>
          <w:noProof/>
          <w:sz w:val="24"/>
          <w:szCs w:val="24"/>
          <w:lang w:val="en-AU" w:eastAsia="en-AU"/>
        </w:rPr>
      </w:pPr>
      <w:hyperlink w:anchor="_Toc80014171" w:history="1">
        <w:r w:rsidR="00116EE0" w:rsidRPr="00116EE0">
          <w:rPr>
            <w:rStyle w:val="Hyperlink"/>
            <w:rFonts w:ascii="Circular Std Book" w:hAnsi="Circular Std Book" w:cs="Circular Std Book"/>
            <w:noProof/>
            <w:sz w:val="24"/>
            <w:szCs w:val="24"/>
          </w:rPr>
          <w:t>Abbreviations</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_Toc80014171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92</w:t>
        </w:r>
        <w:r w:rsidR="00116EE0" w:rsidRPr="00116EE0">
          <w:rPr>
            <w:rFonts w:ascii="Circular Std Book" w:hAnsi="Circular Std Book" w:cs="Circular Std Book"/>
            <w:noProof/>
            <w:webHidden/>
            <w:sz w:val="24"/>
            <w:szCs w:val="24"/>
          </w:rPr>
          <w:fldChar w:fldCharType="end"/>
        </w:r>
      </w:hyperlink>
    </w:p>
    <w:p w14:paraId="05EE0481" w14:textId="3EFACFA3" w:rsidR="00116EE0" w:rsidRPr="00116EE0" w:rsidRDefault="0082346F">
      <w:pPr>
        <w:pStyle w:val="TOC1"/>
        <w:rPr>
          <w:rFonts w:ascii="Circular Std Book" w:eastAsiaTheme="minorEastAsia" w:hAnsi="Circular Std Book" w:cs="Circular Std Book"/>
          <w:noProof/>
          <w:sz w:val="24"/>
          <w:szCs w:val="24"/>
          <w:lang w:val="en-AU" w:eastAsia="en-AU"/>
        </w:rPr>
      </w:pPr>
      <w:hyperlink w:anchor="_Toc80014172" w:history="1">
        <w:r w:rsidR="00116EE0" w:rsidRPr="00116EE0">
          <w:rPr>
            <w:rStyle w:val="Hyperlink"/>
            <w:rFonts w:ascii="Circular Std Book" w:hAnsi="Circular Std Book" w:cs="Circular Std Book"/>
            <w:noProof/>
            <w:sz w:val="24"/>
            <w:szCs w:val="24"/>
          </w:rPr>
          <w:t>References</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_Toc80014172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93</w:t>
        </w:r>
        <w:r w:rsidR="00116EE0" w:rsidRPr="00116EE0">
          <w:rPr>
            <w:rFonts w:ascii="Circular Std Book" w:hAnsi="Circular Std Book" w:cs="Circular Std Book"/>
            <w:noProof/>
            <w:webHidden/>
            <w:sz w:val="24"/>
            <w:szCs w:val="24"/>
          </w:rPr>
          <w:fldChar w:fldCharType="end"/>
        </w:r>
      </w:hyperlink>
    </w:p>
    <w:p w14:paraId="172F8795" w14:textId="63F8C826" w:rsidR="00116EE0" w:rsidRPr="00116EE0" w:rsidRDefault="0082346F">
      <w:pPr>
        <w:pStyle w:val="TOC1"/>
        <w:rPr>
          <w:rFonts w:ascii="Circular Std Book" w:eastAsiaTheme="minorEastAsia" w:hAnsi="Circular Std Book" w:cs="Circular Std Book"/>
          <w:noProof/>
          <w:sz w:val="24"/>
          <w:szCs w:val="24"/>
          <w:lang w:val="en-AU" w:eastAsia="en-AU"/>
        </w:rPr>
      </w:pPr>
      <w:hyperlink w:anchor="_Toc80014173" w:history="1">
        <w:r w:rsidR="00116EE0" w:rsidRPr="00116EE0">
          <w:rPr>
            <w:rStyle w:val="Hyperlink"/>
            <w:rFonts w:ascii="Circular Std Book" w:hAnsi="Circular Std Book" w:cs="Circular Std Book"/>
            <w:noProof/>
            <w:sz w:val="24"/>
            <w:szCs w:val="24"/>
          </w:rPr>
          <w:t>Appendices</w:t>
        </w:r>
        <w:r w:rsidR="00116EE0" w:rsidRPr="00116EE0">
          <w:rPr>
            <w:rFonts w:ascii="Circular Std Book" w:hAnsi="Circular Std Book" w:cs="Circular Std Book"/>
            <w:noProof/>
            <w:webHidden/>
            <w:sz w:val="24"/>
            <w:szCs w:val="24"/>
          </w:rPr>
          <w:tab/>
        </w:r>
        <w:r w:rsidR="00116EE0" w:rsidRPr="00116EE0">
          <w:rPr>
            <w:rFonts w:ascii="Circular Std Book" w:hAnsi="Circular Std Book" w:cs="Circular Std Book"/>
            <w:noProof/>
            <w:webHidden/>
            <w:sz w:val="24"/>
            <w:szCs w:val="24"/>
          </w:rPr>
          <w:fldChar w:fldCharType="begin"/>
        </w:r>
        <w:r w:rsidR="00116EE0" w:rsidRPr="00116EE0">
          <w:rPr>
            <w:rFonts w:ascii="Circular Std Book" w:hAnsi="Circular Std Book" w:cs="Circular Std Book"/>
            <w:noProof/>
            <w:webHidden/>
            <w:sz w:val="24"/>
            <w:szCs w:val="24"/>
          </w:rPr>
          <w:instrText xml:space="preserve"> PAGEREF _Toc80014173 \h </w:instrText>
        </w:r>
        <w:r w:rsidR="00116EE0" w:rsidRPr="00116EE0">
          <w:rPr>
            <w:rFonts w:ascii="Circular Std Book" w:hAnsi="Circular Std Book" w:cs="Circular Std Book"/>
            <w:noProof/>
            <w:webHidden/>
            <w:sz w:val="24"/>
            <w:szCs w:val="24"/>
          </w:rPr>
        </w:r>
        <w:r w:rsidR="00116EE0" w:rsidRPr="00116EE0">
          <w:rPr>
            <w:rFonts w:ascii="Circular Std Book" w:hAnsi="Circular Std Book" w:cs="Circular Std Book"/>
            <w:noProof/>
            <w:webHidden/>
            <w:sz w:val="24"/>
            <w:szCs w:val="24"/>
          </w:rPr>
          <w:fldChar w:fldCharType="separate"/>
        </w:r>
        <w:r w:rsidR="00E25F7C">
          <w:rPr>
            <w:rFonts w:ascii="Circular Std Book" w:hAnsi="Circular Std Book" w:cs="Circular Std Book"/>
            <w:noProof/>
            <w:webHidden/>
            <w:sz w:val="24"/>
            <w:szCs w:val="24"/>
          </w:rPr>
          <w:t>99</w:t>
        </w:r>
        <w:r w:rsidR="00116EE0" w:rsidRPr="00116EE0">
          <w:rPr>
            <w:rFonts w:ascii="Circular Std Book" w:hAnsi="Circular Std Book" w:cs="Circular Std Book"/>
            <w:noProof/>
            <w:webHidden/>
            <w:sz w:val="24"/>
            <w:szCs w:val="24"/>
          </w:rPr>
          <w:fldChar w:fldCharType="end"/>
        </w:r>
      </w:hyperlink>
    </w:p>
    <w:p w14:paraId="714887B5" w14:textId="4DB352EF" w:rsidR="00116EE0" w:rsidRPr="00116EE0" w:rsidRDefault="00116EE0" w:rsidP="00116EE0">
      <w:r w:rsidRPr="00116EE0">
        <w:rPr>
          <w:rFonts w:eastAsia="Calibri" w:cs="Circular Std Book"/>
          <w:b/>
          <w:sz w:val="24"/>
          <w:szCs w:val="24"/>
          <w:lang w:val="en-GB"/>
        </w:rPr>
        <w:fldChar w:fldCharType="end"/>
      </w:r>
    </w:p>
    <w:p w14:paraId="01332D98" w14:textId="2368D964" w:rsidR="00D73B12" w:rsidRDefault="00D73B12" w:rsidP="00D73B12"/>
    <w:p w14:paraId="08689B83" w14:textId="3022A8D3" w:rsidR="00D73B12" w:rsidRDefault="00D73B12" w:rsidP="00D73B12"/>
    <w:p w14:paraId="3CB379A3" w14:textId="6E789CD8" w:rsidR="00D73B12" w:rsidRDefault="00D73B12" w:rsidP="00D73B12">
      <w:r>
        <w:br w:type="page"/>
      </w:r>
    </w:p>
    <w:p w14:paraId="2425F372" w14:textId="77777777" w:rsidR="00D73B12" w:rsidRPr="00D73B12" w:rsidRDefault="00D73B12" w:rsidP="00D73B12"/>
    <w:p w14:paraId="38165084" w14:textId="2C9DF35A" w:rsidR="00494824" w:rsidRPr="00B2525C" w:rsidRDefault="00494824" w:rsidP="0000364C">
      <w:pPr>
        <w:pStyle w:val="Heading1"/>
        <w:numPr>
          <w:ilvl w:val="0"/>
          <w:numId w:val="20"/>
        </w:numPr>
        <w:rPr>
          <w:rFonts w:cs="Arial"/>
        </w:rPr>
      </w:pPr>
      <w:bookmarkStart w:id="8" w:name="_Toc80014164"/>
      <w:r w:rsidRPr="00B2525C">
        <w:rPr>
          <w:rFonts w:cs="Arial"/>
        </w:rPr>
        <w:t>Introduction</w:t>
      </w:r>
      <w:bookmarkEnd w:id="8"/>
    </w:p>
    <w:p w14:paraId="0C53E333" w14:textId="77777777" w:rsidR="007D0646" w:rsidRDefault="007D0646" w:rsidP="007D0646">
      <w:pPr>
        <w:pStyle w:val="Heading3"/>
      </w:pPr>
    </w:p>
    <w:p w14:paraId="71651A7B" w14:textId="5C3EE907" w:rsidR="007D0646" w:rsidRPr="0039503D" w:rsidRDefault="001B7A30" w:rsidP="0039503D">
      <w:pPr>
        <w:pStyle w:val="Heading2"/>
      </w:pPr>
      <w:bookmarkStart w:id="9" w:name="_Hlk80364953"/>
      <w:r w:rsidRPr="0039503D">
        <w:t>Policy context</w:t>
      </w:r>
    </w:p>
    <w:p w14:paraId="546B389F" w14:textId="093FD899" w:rsidR="006368B8" w:rsidRPr="007D0646" w:rsidRDefault="006368B8" w:rsidP="007D0646">
      <w:pPr>
        <w:rPr>
          <w:rFonts w:cs="Calibri"/>
        </w:rPr>
      </w:pPr>
      <w:r w:rsidRPr="00B2525C">
        <w:t xml:space="preserve">The </w:t>
      </w:r>
      <w:r w:rsidRPr="00B2525C">
        <w:rPr>
          <w:i/>
          <w:iCs/>
        </w:rPr>
        <w:t xml:space="preserve">Victorian Local Government Act </w:t>
      </w:r>
      <w:r w:rsidR="00083670" w:rsidRPr="00B2525C">
        <w:rPr>
          <w:i/>
          <w:iCs/>
        </w:rPr>
        <w:t>2020</w:t>
      </w:r>
      <w:r w:rsidRPr="00B2525C">
        <w:t xml:space="preserve"> acknowledges the important role Council has to play in planning for </w:t>
      </w:r>
      <w:r w:rsidR="005D542F" w:rsidRPr="00B2525C">
        <w:t>the</w:t>
      </w:r>
      <w:r w:rsidRPr="00B2525C">
        <w:t xml:space="preserve"> community. Councils are tasked with </w:t>
      </w:r>
      <w:r w:rsidR="00C005FF" w:rsidRPr="00B2525C">
        <w:t xml:space="preserve">engaging and </w:t>
      </w:r>
      <w:r w:rsidRPr="00B2525C">
        <w:t>representing community interests when making decisions through planning, services and local law making. This includes a specific responsibility to improve the overall quality of life of people in the local community</w:t>
      </w:r>
      <w:r w:rsidR="0029000B" w:rsidRPr="00B2525C">
        <w:t xml:space="preserve">. </w:t>
      </w:r>
    </w:p>
    <w:p w14:paraId="3067FF9C" w14:textId="77777777" w:rsidR="006F7B05" w:rsidRPr="00B2525C" w:rsidRDefault="006368B8" w:rsidP="006F7B05">
      <w:pPr>
        <w:spacing w:before="100" w:beforeAutospacing="1" w:after="100" w:afterAutospacing="1"/>
        <w:rPr>
          <w:rFonts w:cs="Arial"/>
        </w:rPr>
      </w:pPr>
      <w:r w:rsidRPr="00B2525C">
        <w:rPr>
          <w:rFonts w:cs="Arial"/>
          <w:szCs w:val="24"/>
        </w:rPr>
        <w:t xml:space="preserve">This responsibility is reinforced by the </w:t>
      </w:r>
      <w:r w:rsidRPr="00B2525C">
        <w:rPr>
          <w:rFonts w:cs="Arial"/>
          <w:i/>
          <w:szCs w:val="24"/>
        </w:rPr>
        <w:t>Victorian</w:t>
      </w:r>
      <w:r w:rsidRPr="00B2525C">
        <w:rPr>
          <w:rFonts w:cs="Arial"/>
          <w:szCs w:val="24"/>
        </w:rPr>
        <w:t xml:space="preserve"> </w:t>
      </w:r>
      <w:r w:rsidRPr="00B2525C">
        <w:rPr>
          <w:rFonts w:cs="Arial"/>
          <w:i/>
          <w:szCs w:val="24"/>
        </w:rPr>
        <w:t>Public Health and Wellbeing Act 2008</w:t>
      </w:r>
      <w:r w:rsidR="00CE7658">
        <w:rPr>
          <w:rFonts w:cs="Arial"/>
          <w:szCs w:val="24"/>
        </w:rPr>
        <w:t xml:space="preserve"> and </w:t>
      </w:r>
      <w:r w:rsidRPr="00B2525C">
        <w:rPr>
          <w:rFonts w:cs="Arial"/>
        </w:rPr>
        <w:t xml:space="preserve">requires </w:t>
      </w:r>
      <w:r w:rsidR="00B94E8B" w:rsidRPr="00B2525C">
        <w:rPr>
          <w:rFonts w:cs="Arial"/>
          <w:szCs w:val="24"/>
        </w:rPr>
        <w:t xml:space="preserve">that when developing a </w:t>
      </w:r>
      <w:r w:rsidR="00CE7658">
        <w:rPr>
          <w:rFonts w:cs="Arial"/>
          <w:szCs w:val="24"/>
        </w:rPr>
        <w:t xml:space="preserve">Council </w:t>
      </w:r>
      <w:r w:rsidR="00B94E8B" w:rsidRPr="00B2525C">
        <w:rPr>
          <w:rFonts w:cs="Arial"/>
          <w:szCs w:val="24"/>
        </w:rPr>
        <w:t>Plan, councils include an analysis of data to gain a preliminary understanding of the health and wellbeing status of the community and the determinants</w:t>
      </w:r>
      <w:r w:rsidR="008E17B9" w:rsidRPr="00B2525C">
        <w:rPr>
          <w:rFonts w:cs="Arial"/>
          <w:szCs w:val="24"/>
        </w:rPr>
        <w:t xml:space="preserve"> or factors</w:t>
      </w:r>
      <w:r w:rsidR="00B94E8B" w:rsidRPr="00B2525C">
        <w:rPr>
          <w:rFonts w:cs="Arial"/>
          <w:szCs w:val="24"/>
        </w:rPr>
        <w:t xml:space="preserve"> that contribute to this status. The Moonee Valley Health </w:t>
      </w:r>
      <w:r w:rsidR="00CF637D" w:rsidRPr="00B2525C">
        <w:rPr>
          <w:rFonts w:cs="Arial"/>
          <w:szCs w:val="24"/>
        </w:rPr>
        <w:t xml:space="preserve">and Wellbeing </w:t>
      </w:r>
      <w:r w:rsidR="00B94E8B" w:rsidRPr="00B2525C">
        <w:rPr>
          <w:rFonts w:cs="Arial"/>
          <w:szCs w:val="24"/>
        </w:rPr>
        <w:t>Profile 2021 fulfils this purpose</w:t>
      </w:r>
      <w:r w:rsidR="00870D05" w:rsidRPr="00B2525C">
        <w:rPr>
          <w:rFonts w:cs="Arial"/>
          <w:szCs w:val="24"/>
        </w:rPr>
        <w:t xml:space="preserve"> and</w:t>
      </w:r>
      <w:r w:rsidR="00B94E8B" w:rsidRPr="00B2525C">
        <w:rPr>
          <w:rFonts w:cs="Arial"/>
          <w:szCs w:val="24"/>
        </w:rPr>
        <w:t xml:space="preserve"> is one of a </w:t>
      </w:r>
      <w:proofErr w:type="gramStart"/>
      <w:r w:rsidR="00B94E8B" w:rsidRPr="00B2525C">
        <w:rPr>
          <w:rFonts w:cs="Arial"/>
          <w:szCs w:val="24"/>
        </w:rPr>
        <w:t>suite</w:t>
      </w:r>
      <w:proofErr w:type="gramEnd"/>
      <w:r w:rsidR="00B94E8B" w:rsidRPr="00B2525C">
        <w:rPr>
          <w:rFonts w:cs="Arial"/>
          <w:szCs w:val="24"/>
        </w:rPr>
        <w:t xml:space="preserve"> of documents that will inform the development of the Council Plan 2021-25. </w:t>
      </w:r>
    </w:p>
    <w:p w14:paraId="20C5CC6E" w14:textId="2FFD4131" w:rsidR="006F7B05" w:rsidRPr="00B2525C" w:rsidRDefault="006368B8" w:rsidP="002145A7">
      <w:pPr>
        <w:spacing w:before="100" w:beforeAutospacing="1" w:after="100" w:afterAutospacing="1"/>
        <w:rPr>
          <w:rFonts w:cs="Arial"/>
          <w:iCs/>
          <w:szCs w:val="24"/>
        </w:rPr>
      </w:pPr>
      <w:r w:rsidRPr="00B2525C">
        <w:rPr>
          <w:rFonts w:cs="Arial"/>
          <w:iCs/>
          <w:szCs w:val="24"/>
        </w:rPr>
        <w:t>In addition to addressing local needs</w:t>
      </w:r>
      <w:r w:rsidR="00FC7587">
        <w:rPr>
          <w:rFonts w:cs="Arial"/>
          <w:iCs/>
          <w:szCs w:val="24"/>
        </w:rPr>
        <w:t>,</w:t>
      </w:r>
      <w:r w:rsidRPr="00B2525C">
        <w:rPr>
          <w:rFonts w:cs="Arial"/>
          <w:iCs/>
          <w:szCs w:val="24"/>
        </w:rPr>
        <w:t xml:space="preserve"> the </w:t>
      </w:r>
      <w:r w:rsidR="00CE7658">
        <w:rPr>
          <w:rFonts w:cs="Arial"/>
          <w:iCs/>
          <w:szCs w:val="24"/>
        </w:rPr>
        <w:t>Council</w:t>
      </w:r>
      <w:r w:rsidRPr="00B2525C">
        <w:rPr>
          <w:rFonts w:cs="Arial"/>
          <w:iCs/>
          <w:szCs w:val="24"/>
        </w:rPr>
        <w:t xml:space="preserve"> Plan must</w:t>
      </w:r>
      <w:r w:rsidR="002145A7" w:rsidRPr="00B2525C">
        <w:rPr>
          <w:rFonts w:cs="Arial"/>
          <w:iCs/>
          <w:szCs w:val="24"/>
        </w:rPr>
        <w:t xml:space="preserve"> take into regard the </w:t>
      </w:r>
      <w:r w:rsidR="006F7B05" w:rsidRPr="00B2525C">
        <w:rPr>
          <w:rFonts w:cs="Arial"/>
          <w:i/>
          <w:iCs/>
        </w:rPr>
        <w:t>Victorian Public Health and Wellbeing Plan 2019–23</w:t>
      </w:r>
      <w:r w:rsidR="002145A7" w:rsidRPr="00B2525C">
        <w:rPr>
          <w:rFonts w:cs="Arial"/>
          <w:iCs/>
          <w:szCs w:val="24"/>
        </w:rPr>
        <w:t xml:space="preserve">. </w:t>
      </w:r>
      <w:r w:rsidR="006F7B05" w:rsidRPr="00B2525C">
        <w:rPr>
          <w:rFonts w:cs="Arial"/>
        </w:rPr>
        <w:t>The Victorian Public Health and Wellbeing Plan (VPHWP) identifies state level priorities for improvement of public health and wellbeing outcomes for all Victorians. There are ten priority areas</w:t>
      </w:r>
      <w:r w:rsidR="00CF637D" w:rsidRPr="00B2525C">
        <w:rPr>
          <w:rFonts w:cs="Arial"/>
        </w:rPr>
        <w:t xml:space="preserve">, with </w:t>
      </w:r>
      <w:r w:rsidR="00CE7658">
        <w:rPr>
          <w:rFonts w:cs="Arial"/>
        </w:rPr>
        <w:t xml:space="preserve">state level </w:t>
      </w:r>
      <w:r w:rsidR="00CF637D" w:rsidRPr="00B2525C">
        <w:rPr>
          <w:rFonts w:cs="Arial"/>
        </w:rPr>
        <w:t xml:space="preserve">focus areas </w:t>
      </w:r>
      <w:r w:rsidR="00542D68">
        <w:rPr>
          <w:rFonts w:cs="Arial"/>
        </w:rPr>
        <w:t xml:space="preserve">indicated with an </w:t>
      </w:r>
      <w:proofErr w:type="spellStart"/>
      <w:r w:rsidR="00542D68">
        <w:rPr>
          <w:rFonts w:cs="Arial"/>
        </w:rPr>
        <w:t>asterix</w:t>
      </w:r>
      <w:proofErr w:type="spellEnd"/>
      <w:r w:rsidR="00542D68">
        <w:rPr>
          <w:rFonts w:cs="Arial"/>
        </w:rPr>
        <w:t xml:space="preserve"> (*)</w:t>
      </w:r>
      <w:r w:rsidR="006F7B05" w:rsidRPr="00B2525C">
        <w:rPr>
          <w:rFonts w:cs="Arial"/>
        </w:rPr>
        <w:t xml:space="preserve">: </w:t>
      </w:r>
    </w:p>
    <w:p w14:paraId="5F4059BF" w14:textId="34839826" w:rsidR="006F7B05" w:rsidRPr="00542D68" w:rsidRDefault="006F7B05" w:rsidP="00BD3DEF">
      <w:pPr>
        <w:pStyle w:val="ListParagraph"/>
        <w:numPr>
          <w:ilvl w:val="0"/>
          <w:numId w:val="3"/>
        </w:numPr>
        <w:spacing w:before="0" w:line="360" w:lineRule="auto"/>
        <w:rPr>
          <w:rFonts w:ascii="Circular Std Book" w:hAnsi="Circular Std Book" w:cs="Circular Std Book"/>
          <w:szCs w:val="24"/>
        </w:rPr>
      </w:pPr>
      <w:r w:rsidRPr="00542D68">
        <w:rPr>
          <w:rFonts w:ascii="Circular Std Book" w:hAnsi="Circular Std Book" w:cs="Circular Std Book"/>
          <w:szCs w:val="24"/>
        </w:rPr>
        <w:t>Tackling climate change and its impact on health</w:t>
      </w:r>
      <w:r w:rsidR="00542D68" w:rsidRPr="00542D68">
        <w:rPr>
          <w:rFonts w:ascii="Circular Std Book" w:hAnsi="Circular Std Book" w:cs="Circular Std Book"/>
          <w:szCs w:val="24"/>
        </w:rPr>
        <w:t>*</w:t>
      </w:r>
    </w:p>
    <w:p w14:paraId="42BFE0A9" w14:textId="77777777" w:rsidR="006F7B05" w:rsidRPr="00BD3DEF" w:rsidRDefault="006F7B05" w:rsidP="00BD3DEF">
      <w:pPr>
        <w:pStyle w:val="ListParagraph"/>
        <w:numPr>
          <w:ilvl w:val="0"/>
          <w:numId w:val="3"/>
        </w:numPr>
        <w:spacing w:before="0" w:line="360" w:lineRule="auto"/>
        <w:rPr>
          <w:rFonts w:ascii="Circular Std Book" w:hAnsi="Circular Std Book" w:cs="Circular Std Book"/>
          <w:szCs w:val="24"/>
        </w:rPr>
      </w:pPr>
      <w:r w:rsidRPr="00BD3DEF">
        <w:rPr>
          <w:rFonts w:ascii="Circular Std Book" w:hAnsi="Circular Std Book" w:cs="Circular Std Book"/>
          <w:szCs w:val="24"/>
        </w:rPr>
        <w:t>Reducing injury in the community</w:t>
      </w:r>
    </w:p>
    <w:p w14:paraId="561A78ED" w14:textId="77777777" w:rsidR="006F7B05" w:rsidRPr="00BD3DEF" w:rsidRDefault="006F7B05" w:rsidP="00BD3DEF">
      <w:pPr>
        <w:pStyle w:val="ListParagraph"/>
        <w:numPr>
          <w:ilvl w:val="0"/>
          <w:numId w:val="3"/>
        </w:numPr>
        <w:spacing w:before="0" w:line="360" w:lineRule="auto"/>
        <w:rPr>
          <w:rFonts w:ascii="Circular Std Book" w:hAnsi="Circular Std Book" w:cs="Circular Std Book"/>
          <w:szCs w:val="24"/>
        </w:rPr>
      </w:pPr>
      <w:r w:rsidRPr="00BD3DEF">
        <w:rPr>
          <w:rFonts w:ascii="Circular Std Book" w:hAnsi="Circular Std Book" w:cs="Circular Std Book"/>
          <w:szCs w:val="24"/>
        </w:rPr>
        <w:t>Preventing all forms of violence</w:t>
      </w:r>
    </w:p>
    <w:p w14:paraId="509E0B84" w14:textId="3770B93B" w:rsidR="006F7B05" w:rsidRPr="00542D68" w:rsidRDefault="006F7B05" w:rsidP="00BD3DEF">
      <w:pPr>
        <w:pStyle w:val="ListParagraph"/>
        <w:numPr>
          <w:ilvl w:val="0"/>
          <w:numId w:val="3"/>
        </w:numPr>
        <w:spacing w:before="0" w:line="360" w:lineRule="auto"/>
        <w:rPr>
          <w:rFonts w:ascii="Circular Std Book" w:hAnsi="Circular Std Book" w:cs="Circular Std Book"/>
          <w:szCs w:val="24"/>
        </w:rPr>
      </w:pPr>
      <w:r w:rsidRPr="00542D68">
        <w:rPr>
          <w:rFonts w:ascii="Circular Std Book" w:hAnsi="Circular Std Book" w:cs="Circular Std Book"/>
          <w:szCs w:val="24"/>
        </w:rPr>
        <w:t>Increasing healthy eating</w:t>
      </w:r>
      <w:r w:rsidR="00542D68">
        <w:rPr>
          <w:rFonts w:ascii="Circular Std Book" w:hAnsi="Circular Std Book" w:cs="Circular Std Book"/>
          <w:szCs w:val="24"/>
        </w:rPr>
        <w:t>*</w:t>
      </w:r>
    </w:p>
    <w:p w14:paraId="5A2CA49D" w14:textId="77777777" w:rsidR="006F7B05" w:rsidRPr="00BD3DEF" w:rsidRDefault="006F7B05" w:rsidP="00BD3DEF">
      <w:pPr>
        <w:pStyle w:val="ListParagraph"/>
        <w:numPr>
          <w:ilvl w:val="0"/>
          <w:numId w:val="3"/>
        </w:numPr>
        <w:spacing w:before="0" w:line="360" w:lineRule="auto"/>
        <w:rPr>
          <w:rFonts w:ascii="Circular Std Book" w:hAnsi="Circular Std Book" w:cs="Circular Std Book"/>
          <w:szCs w:val="24"/>
        </w:rPr>
      </w:pPr>
      <w:r w:rsidRPr="00BD3DEF">
        <w:rPr>
          <w:rFonts w:ascii="Circular Std Book" w:hAnsi="Circular Std Book" w:cs="Circular Std Book"/>
          <w:szCs w:val="24"/>
        </w:rPr>
        <w:t>Decreasing the risk of drug-resistant infections in the community</w:t>
      </w:r>
    </w:p>
    <w:p w14:paraId="7DB3F6D2" w14:textId="4D657E6C" w:rsidR="006F7B05" w:rsidRPr="00542D68" w:rsidRDefault="006F7B05" w:rsidP="00BD3DEF">
      <w:pPr>
        <w:pStyle w:val="ListParagraph"/>
        <w:numPr>
          <w:ilvl w:val="0"/>
          <w:numId w:val="3"/>
        </w:numPr>
        <w:spacing w:before="0" w:line="360" w:lineRule="auto"/>
        <w:rPr>
          <w:rFonts w:ascii="Circular Std Book" w:hAnsi="Circular Std Book" w:cs="Circular Std Book"/>
          <w:szCs w:val="24"/>
        </w:rPr>
      </w:pPr>
      <w:r w:rsidRPr="00542D68">
        <w:rPr>
          <w:rFonts w:ascii="Circular Std Book" w:hAnsi="Circular Std Book" w:cs="Circular Std Book"/>
          <w:szCs w:val="24"/>
        </w:rPr>
        <w:t>Increasing active living</w:t>
      </w:r>
      <w:r w:rsidR="00542D68">
        <w:rPr>
          <w:rFonts w:ascii="Circular Std Book" w:hAnsi="Circular Std Book" w:cs="Circular Std Book"/>
          <w:szCs w:val="24"/>
        </w:rPr>
        <w:t>*</w:t>
      </w:r>
    </w:p>
    <w:p w14:paraId="7C10C3AE" w14:textId="77777777" w:rsidR="006F7B05" w:rsidRPr="00BD3DEF" w:rsidRDefault="006F7B05" w:rsidP="00BD3DEF">
      <w:pPr>
        <w:pStyle w:val="ListParagraph"/>
        <w:numPr>
          <w:ilvl w:val="0"/>
          <w:numId w:val="3"/>
        </w:numPr>
        <w:spacing w:before="0" w:line="360" w:lineRule="auto"/>
        <w:rPr>
          <w:rFonts w:ascii="Circular Std Book" w:hAnsi="Circular Std Book" w:cs="Circular Std Book"/>
          <w:szCs w:val="24"/>
        </w:rPr>
      </w:pPr>
      <w:r w:rsidRPr="00BD3DEF">
        <w:rPr>
          <w:rFonts w:ascii="Circular Std Book" w:hAnsi="Circular Std Book" w:cs="Circular Std Book"/>
          <w:szCs w:val="24"/>
        </w:rPr>
        <w:t>Improving mental wellbeing</w:t>
      </w:r>
    </w:p>
    <w:p w14:paraId="2A2FF1E8" w14:textId="77777777" w:rsidR="006F7B05" w:rsidRPr="00BD3DEF" w:rsidRDefault="006F7B05" w:rsidP="00BD3DEF">
      <w:pPr>
        <w:pStyle w:val="ListParagraph"/>
        <w:numPr>
          <w:ilvl w:val="0"/>
          <w:numId w:val="3"/>
        </w:numPr>
        <w:spacing w:before="0" w:line="360" w:lineRule="auto"/>
        <w:rPr>
          <w:rFonts w:ascii="Circular Std Book" w:hAnsi="Circular Std Book" w:cs="Circular Std Book"/>
          <w:szCs w:val="24"/>
        </w:rPr>
      </w:pPr>
      <w:r w:rsidRPr="00BD3DEF">
        <w:rPr>
          <w:rFonts w:ascii="Circular Std Book" w:hAnsi="Circular Std Book" w:cs="Circular Std Book"/>
          <w:szCs w:val="24"/>
        </w:rPr>
        <w:t>Improving sexual and reproductive health</w:t>
      </w:r>
    </w:p>
    <w:p w14:paraId="0C602953" w14:textId="49AFDB23" w:rsidR="006F7B05" w:rsidRPr="00542D68" w:rsidRDefault="006F7B05" w:rsidP="00BD3DEF">
      <w:pPr>
        <w:pStyle w:val="ListParagraph"/>
        <w:numPr>
          <w:ilvl w:val="0"/>
          <w:numId w:val="3"/>
        </w:numPr>
        <w:spacing w:before="0" w:line="360" w:lineRule="auto"/>
        <w:rPr>
          <w:rFonts w:ascii="Circular Std Book" w:hAnsi="Circular Std Book" w:cs="Circular Std Book"/>
          <w:szCs w:val="24"/>
        </w:rPr>
      </w:pPr>
      <w:r w:rsidRPr="00542D68">
        <w:rPr>
          <w:rFonts w:ascii="Circular Std Book" w:hAnsi="Circular Std Book" w:cs="Circular Std Book"/>
          <w:szCs w:val="24"/>
        </w:rPr>
        <w:t>Reducing tobacco-related harm</w:t>
      </w:r>
      <w:r w:rsidR="00542D68">
        <w:rPr>
          <w:rFonts w:ascii="Circular Std Book" w:hAnsi="Circular Std Book" w:cs="Circular Std Book"/>
          <w:szCs w:val="24"/>
        </w:rPr>
        <w:t>*</w:t>
      </w:r>
    </w:p>
    <w:p w14:paraId="601E1909" w14:textId="77777777" w:rsidR="006F7B05" w:rsidRPr="00BD3DEF" w:rsidRDefault="006F7B05" w:rsidP="00BD3DEF">
      <w:pPr>
        <w:pStyle w:val="ListParagraph"/>
        <w:numPr>
          <w:ilvl w:val="0"/>
          <w:numId w:val="3"/>
        </w:numPr>
        <w:spacing w:before="0" w:line="360" w:lineRule="auto"/>
        <w:rPr>
          <w:rFonts w:ascii="Circular Std Book" w:hAnsi="Circular Std Book" w:cs="Circular Std Book"/>
          <w:szCs w:val="24"/>
        </w:rPr>
      </w:pPr>
      <w:r w:rsidRPr="00BD3DEF">
        <w:rPr>
          <w:rFonts w:ascii="Circular Std Book" w:hAnsi="Circular Std Book" w:cs="Circular Std Book"/>
          <w:szCs w:val="24"/>
        </w:rPr>
        <w:t>Reducing harmful alcohol and drug use</w:t>
      </w:r>
    </w:p>
    <w:p w14:paraId="7DB35DD6" w14:textId="77777777" w:rsidR="002145A7" w:rsidRPr="00B2525C" w:rsidRDefault="006F7B05" w:rsidP="002145A7">
      <w:pPr>
        <w:rPr>
          <w:rFonts w:cs="Arial"/>
        </w:rPr>
      </w:pPr>
      <w:r w:rsidRPr="00B2525C">
        <w:rPr>
          <w:rFonts w:cs="Arial"/>
        </w:rPr>
        <w:t>The</w:t>
      </w:r>
      <w:r w:rsidR="002145A7" w:rsidRPr="00B2525C">
        <w:rPr>
          <w:rFonts w:cs="Arial"/>
        </w:rPr>
        <w:t>se</w:t>
      </w:r>
      <w:r w:rsidRPr="00B2525C">
        <w:rPr>
          <w:rFonts w:cs="Arial"/>
        </w:rPr>
        <w:t xml:space="preserve"> priorities are reflected in the data collected in this profile</w:t>
      </w:r>
      <w:r w:rsidR="00773623" w:rsidRPr="00B2525C">
        <w:rPr>
          <w:rFonts w:cs="Arial"/>
        </w:rPr>
        <w:t>, with the exception of decreasing the risk of drug-resistant infections in the community due to data limitations</w:t>
      </w:r>
      <w:bookmarkEnd w:id="9"/>
      <w:r w:rsidR="00773623" w:rsidRPr="00B2525C">
        <w:rPr>
          <w:rFonts w:cs="Arial"/>
        </w:rPr>
        <w:t>.</w:t>
      </w:r>
    </w:p>
    <w:p w14:paraId="6523C656" w14:textId="77777777" w:rsidR="00B2525C" w:rsidRPr="00B2525C" w:rsidRDefault="00B2525C" w:rsidP="002145A7">
      <w:pPr>
        <w:rPr>
          <w:rStyle w:val="Heading2Char"/>
          <w:rFonts w:eastAsiaTheme="minorHAnsi" w:cs="Arial"/>
          <w:b w:val="0"/>
          <w:sz w:val="22"/>
          <w:szCs w:val="22"/>
        </w:rPr>
      </w:pPr>
      <w:r w:rsidRPr="00B2525C">
        <w:rPr>
          <w:rStyle w:val="Heading2Char"/>
          <w:rFonts w:eastAsiaTheme="minorHAnsi" w:cs="Arial"/>
          <w:b w:val="0"/>
          <w:sz w:val="22"/>
          <w:szCs w:val="22"/>
        </w:rPr>
        <w:br w:type="page"/>
      </w:r>
    </w:p>
    <w:p w14:paraId="30820438" w14:textId="77777777" w:rsidR="007D0646" w:rsidRPr="0039503D" w:rsidRDefault="003910F6" w:rsidP="0039503D">
      <w:pPr>
        <w:pStyle w:val="Heading3"/>
        <w:rPr>
          <w:rStyle w:val="Heading2Char"/>
          <w:b/>
          <w:sz w:val="26"/>
          <w:szCs w:val="24"/>
        </w:rPr>
      </w:pPr>
      <w:r w:rsidRPr="0039503D">
        <w:rPr>
          <w:rStyle w:val="Heading2Char"/>
          <w:b/>
          <w:sz w:val="26"/>
          <w:szCs w:val="24"/>
        </w:rPr>
        <w:lastRenderedPageBreak/>
        <w:t>Structure</w:t>
      </w:r>
      <w:bookmarkStart w:id="10" w:name="_Hlk75444105"/>
    </w:p>
    <w:p w14:paraId="568A5EF3" w14:textId="7EE4F46D" w:rsidR="00494824" w:rsidRPr="007D0646" w:rsidRDefault="00494824" w:rsidP="007D0646">
      <w:pPr>
        <w:rPr>
          <w:rFonts w:cs="Calibri"/>
        </w:rPr>
      </w:pPr>
      <w:r w:rsidRPr="00B2525C">
        <w:t xml:space="preserve">This </w:t>
      </w:r>
      <w:r w:rsidR="00194C02" w:rsidRPr="00B2525C">
        <w:t xml:space="preserve">Health </w:t>
      </w:r>
      <w:r w:rsidRPr="00B2525C">
        <w:t xml:space="preserve">Profile is divided into </w:t>
      </w:r>
      <w:r w:rsidR="00773623" w:rsidRPr="00B2525C">
        <w:t>seven</w:t>
      </w:r>
      <w:r w:rsidR="0029000B" w:rsidRPr="00B2525C">
        <w:t xml:space="preserve"> </w:t>
      </w:r>
      <w:r w:rsidRPr="00B2525C">
        <w:t xml:space="preserve">sections: </w:t>
      </w:r>
    </w:p>
    <w:p w14:paraId="15696A92" w14:textId="77777777" w:rsidR="00494824" w:rsidRPr="00BD3DEF" w:rsidRDefault="00494824" w:rsidP="00BD3DEF">
      <w:pPr>
        <w:pStyle w:val="ListParagraph"/>
        <w:numPr>
          <w:ilvl w:val="0"/>
          <w:numId w:val="1"/>
        </w:numPr>
        <w:spacing w:before="0" w:after="0" w:line="360" w:lineRule="auto"/>
        <w:rPr>
          <w:rFonts w:ascii="Circular Std Book" w:hAnsi="Circular Std Book" w:cs="Circular Std Book"/>
          <w:color w:val="auto"/>
          <w:szCs w:val="24"/>
        </w:rPr>
      </w:pPr>
      <w:r w:rsidRPr="00BD3DEF">
        <w:rPr>
          <w:rFonts w:ascii="Circular Std Book" w:hAnsi="Circular Std Book" w:cs="Circular Std Book"/>
          <w:b/>
          <w:bCs/>
          <w:color w:val="auto"/>
          <w:szCs w:val="24"/>
        </w:rPr>
        <w:t>Introduction</w:t>
      </w:r>
      <w:r w:rsidRPr="00BD3DEF">
        <w:rPr>
          <w:rFonts w:ascii="Circular Std Book" w:hAnsi="Circular Std Book" w:cs="Circular Std Book"/>
          <w:color w:val="auto"/>
          <w:szCs w:val="24"/>
        </w:rPr>
        <w:t xml:space="preserve"> </w:t>
      </w:r>
      <w:r w:rsidR="004C17A8" w:rsidRPr="00BD3DEF">
        <w:rPr>
          <w:rFonts w:ascii="Circular Std Book" w:hAnsi="Circular Std Book" w:cs="Circular Std Book"/>
          <w:szCs w:val="24"/>
        </w:rPr>
        <w:t>–</w:t>
      </w:r>
      <w:r w:rsidR="004C17A8" w:rsidRPr="00BD3DEF">
        <w:rPr>
          <w:rFonts w:ascii="Circular Std Book" w:hAnsi="Circular Std Book" w:cs="Circular Std Book"/>
          <w:color w:val="auto"/>
          <w:szCs w:val="24"/>
        </w:rPr>
        <w:t xml:space="preserve"> </w:t>
      </w:r>
      <w:r w:rsidRPr="00BD3DEF">
        <w:rPr>
          <w:rFonts w:ascii="Circular Std Book" w:hAnsi="Circular Std Book" w:cs="Circular Std Book"/>
          <w:color w:val="auto"/>
          <w:szCs w:val="24"/>
        </w:rPr>
        <w:t>framework</w:t>
      </w:r>
      <w:r w:rsidR="007D6419" w:rsidRPr="00BD3DEF">
        <w:rPr>
          <w:rFonts w:ascii="Circular Std Book" w:hAnsi="Circular Std Book" w:cs="Circular Std Book"/>
          <w:color w:val="auto"/>
          <w:szCs w:val="24"/>
        </w:rPr>
        <w:t xml:space="preserve">s, </w:t>
      </w:r>
      <w:r w:rsidR="005D542F" w:rsidRPr="00BD3DEF">
        <w:rPr>
          <w:rFonts w:ascii="Circular Std Book" w:hAnsi="Circular Std Book" w:cs="Circular Std Book"/>
          <w:color w:val="auto"/>
          <w:szCs w:val="24"/>
        </w:rPr>
        <w:t>COVID-19</w:t>
      </w:r>
      <w:r w:rsidR="007D6419" w:rsidRPr="00BD3DEF">
        <w:rPr>
          <w:rFonts w:ascii="Circular Std Book" w:hAnsi="Circular Std Book" w:cs="Circular Std Book"/>
          <w:color w:val="auto"/>
          <w:szCs w:val="24"/>
        </w:rPr>
        <w:t xml:space="preserve"> impacts, scope and data </w:t>
      </w:r>
      <w:r w:rsidR="008E17B9" w:rsidRPr="00BD3DEF">
        <w:rPr>
          <w:rFonts w:ascii="Circular Std Book" w:hAnsi="Circular Std Book" w:cs="Circular Std Book"/>
          <w:color w:val="auto"/>
          <w:szCs w:val="24"/>
        </w:rPr>
        <w:t>source</w:t>
      </w:r>
      <w:r w:rsidR="005D542F" w:rsidRPr="00BD3DEF">
        <w:rPr>
          <w:rFonts w:ascii="Circular Std Book" w:hAnsi="Circular Std Book" w:cs="Circular Std Book"/>
          <w:color w:val="auto"/>
          <w:szCs w:val="24"/>
        </w:rPr>
        <w:t>,</w:t>
      </w:r>
      <w:r w:rsidR="007D6419" w:rsidRPr="00BD3DEF">
        <w:rPr>
          <w:rFonts w:ascii="Circular Std Book" w:hAnsi="Circular Std Book" w:cs="Circular Std Book"/>
          <w:color w:val="auto"/>
          <w:szCs w:val="24"/>
        </w:rPr>
        <w:t xml:space="preserve"> and location of </w:t>
      </w:r>
      <w:r w:rsidR="00E37EA5" w:rsidRPr="00BD3DEF">
        <w:rPr>
          <w:rFonts w:ascii="Circular Std Book" w:hAnsi="Circular Std Book" w:cs="Circular Std Book"/>
          <w:color w:val="auto"/>
          <w:szCs w:val="24"/>
        </w:rPr>
        <w:t>Moonee Valley City Council</w:t>
      </w:r>
      <w:r w:rsidR="00CF637D" w:rsidRPr="00BD3DEF">
        <w:rPr>
          <w:rFonts w:ascii="Circular Std Book" w:hAnsi="Circular Std Book" w:cs="Circular Std Book"/>
          <w:color w:val="auto"/>
          <w:szCs w:val="24"/>
        </w:rPr>
        <w:t>.</w:t>
      </w:r>
    </w:p>
    <w:p w14:paraId="082A11CC" w14:textId="77777777" w:rsidR="008E17B9" w:rsidRPr="00BD3DEF" w:rsidRDefault="00FB0840" w:rsidP="00BD3DEF">
      <w:pPr>
        <w:pStyle w:val="ListParagraph"/>
        <w:widowControl w:val="0"/>
        <w:numPr>
          <w:ilvl w:val="0"/>
          <w:numId w:val="1"/>
        </w:numPr>
        <w:tabs>
          <w:tab w:val="left" w:pos="2153"/>
          <w:tab w:val="left" w:pos="2154"/>
        </w:tabs>
        <w:autoSpaceDE w:val="0"/>
        <w:autoSpaceDN w:val="0"/>
        <w:spacing w:before="0" w:after="0" w:line="360" w:lineRule="auto"/>
        <w:ind w:right="1136"/>
        <w:contextualSpacing w:val="0"/>
        <w:rPr>
          <w:rFonts w:ascii="Circular Std Book" w:hAnsi="Circular Std Book" w:cs="Circular Std Book"/>
          <w:szCs w:val="24"/>
        </w:rPr>
      </w:pPr>
      <w:r w:rsidRPr="00BD3DEF">
        <w:rPr>
          <w:rFonts w:ascii="Circular Std Book" w:hAnsi="Circular Std Book" w:cs="Circular Std Book"/>
          <w:b/>
          <w:szCs w:val="24"/>
        </w:rPr>
        <w:t xml:space="preserve">Our </w:t>
      </w:r>
      <w:r w:rsidR="005D542F" w:rsidRPr="00BD3DEF">
        <w:rPr>
          <w:rFonts w:ascii="Circular Std Book" w:hAnsi="Circular Std Book" w:cs="Circular Std Book"/>
          <w:b/>
          <w:szCs w:val="24"/>
        </w:rPr>
        <w:t>p</w:t>
      </w:r>
      <w:r w:rsidRPr="00BD3DEF">
        <w:rPr>
          <w:rFonts w:ascii="Circular Std Book" w:hAnsi="Circular Std Book" w:cs="Circular Std Book"/>
          <w:b/>
          <w:szCs w:val="24"/>
        </w:rPr>
        <w:t xml:space="preserve">eople </w:t>
      </w:r>
      <w:r w:rsidRPr="00BD3DEF">
        <w:rPr>
          <w:rFonts w:ascii="Circular Std Book" w:hAnsi="Circular Std Book" w:cs="Circular Std Book"/>
          <w:szCs w:val="24"/>
        </w:rPr>
        <w:t xml:space="preserve">– including data reflecting </w:t>
      </w:r>
      <w:r w:rsidR="008E17B9" w:rsidRPr="00BD3DEF">
        <w:rPr>
          <w:rFonts w:ascii="Circular Std Book" w:hAnsi="Circular Std Book" w:cs="Circular Std Book"/>
          <w:szCs w:val="24"/>
        </w:rPr>
        <w:t>our</w:t>
      </w:r>
      <w:r w:rsidRPr="00BD3DEF">
        <w:rPr>
          <w:rFonts w:ascii="Circular Std Book" w:hAnsi="Circular Std Book" w:cs="Circular Std Book"/>
          <w:szCs w:val="24"/>
        </w:rPr>
        <w:t xml:space="preserve"> individual-level factors that influence health and wellbeing such as age and gender, </w:t>
      </w:r>
      <w:r w:rsidR="008E17B9" w:rsidRPr="00BD3DEF">
        <w:rPr>
          <w:rFonts w:ascii="Circular Std Book" w:hAnsi="Circular Std Book" w:cs="Circular Std Book"/>
          <w:szCs w:val="24"/>
        </w:rPr>
        <w:t>household</w:t>
      </w:r>
      <w:r w:rsidRPr="00BD3DEF">
        <w:rPr>
          <w:rFonts w:ascii="Circular Std Book" w:hAnsi="Circular Std Book" w:cs="Circular Std Book"/>
          <w:szCs w:val="24"/>
        </w:rPr>
        <w:t xml:space="preserve"> composition</w:t>
      </w:r>
      <w:r w:rsidR="005D542F" w:rsidRPr="00BD3DEF">
        <w:rPr>
          <w:rFonts w:ascii="Circular Std Book" w:hAnsi="Circular Std Book" w:cs="Circular Std Book"/>
          <w:szCs w:val="24"/>
        </w:rPr>
        <w:t>,</w:t>
      </w:r>
      <w:r w:rsidR="00773623" w:rsidRPr="00BD3DEF">
        <w:rPr>
          <w:rFonts w:ascii="Circular Std Book" w:hAnsi="Circular Std Book" w:cs="Circular Std Book"/>
          <w:szCs w:val="24"/>
        </w:rPr>
        <w:t xml:space="preserve"> and</w:t>
      </w:r>
      <w:r w:rsidRPr="00BD3DEF">
        <w:rPr>
          <w:rFonts w:ascii="Circular Std Book" w:hAnsi="Circular Std Book" w:cs="Circular Std Book"/>
          <w:szCs w:val="24"/>
        </w:rPr>
        <w:t xml:space="preserve"> diversity</w:t>
      </w:r>
      <w:r w:rsidR="00D87B07" w:rsidRPr="00BD3DEF">
        <w:rPr>
          <w:rFonts w:ascii="Circular Std Book" w:hAnsi="Circular Std Book" w:cs="Circular Std Book"/>
          <w:szCs w:val="24"/>
        </w:rPr>
        <w:t>.</w:t>
      </w:r>
      <w:r w:rsidRPr="00BD3DEF">
        <w:rPr>
          <w:rFonts w:ascii="Circular Std Book" w:hAnsi="Circular Std Book" w:cs="Circular Std Book"/>
          <w:szCs w:val="24"/>
        </w:rPr>
        <w:t xml:space="preserve"> </w:t>
      </w:r>
    </w:p>
    <w:p w14:paraId="50F97FC6" w14:textId="77777777" w:rsidR="008E17B9" w:rsidRPr="00BD3DEF" w:rsidRDefault="00773623" w:rsidP="00BD3DEF">
      <w:pPr>
        <w:pStyle w:val="ListParagraph"/>
        <w:widowControl w:val="0"/>
        <w:numPr>
          <w:ilvl w:val="0"/>
          <w:numId w:val="1"/>
        </w:numPr>
        <w:tabs>
          <w:tab w:val="left" w:pos="2153"/>
          <w:tab w:val="left" w:pos="2154"/>
        </w:tabs>
        <w:autoSpaceDE w:val="0"/>
        <w:autoSpaceDN w:val="0"/>
        <w:spacing w:before="0" w:after="0" w:line="360" w:lineRule="auto"/>
        <w:ind w:right="1136"/>
        <w:contextualSpacing w:val="0"/>
        <w:rPr>
          <w:rFonts w:ascii="Circular Std Book" w:hAnsi="Circular Std Book" w:cs="Circular Std Book"/>
          <w:szCs w:val="24"/>
        </w:rPr>
      </w:pPr>
      <w:r w:rsidRPr="00BD3DEF">
        <w:rPr>
          <w:rFonts w:ascii="Circular Std Book" w:hAnsi="Circular Std Book" w:cs="Circular Std Book"/>
          <w:b/>
          <w:bCs/>
          <w:szCs w:val="24"/>
        </w:rPr>
        <w:t>Individual behavioural factors</w:t>
      </w:r>
      <w:r w:rsidRPr="00BD3DEF">
        <w:rPr>
          <w:rFonts w:ascii="Circular Std Book" w:hAnsi="Circular Std Book" w:cs="Circular Std Book"/>
          <w:szCs w:val="24"/>
        </w:rPr>
        <w:t xml:space="preserve"> –</w:t>
      </w:r>
      <w:r w:rsidR="0029000B" w:rsidRPr="00BD3DEF">
        <w:rPr>
          <w:rFonts w:ascii="Circular Std Book" w:hAnsi="Circular Std Book" w:cs="Circular Std Book"/>
          <w:szCs w:val="24"/>
        </w:rPr>
        <w:t xml:space="preserve"> </w:t>
      </w:r>
      <w:r w:rsidR="0000044D" w:rsidRPr="00BD3DEF">
        <w:rPr>
          <w:rFonts w:ascii="Circular Std Book" w:hAnsi="Circular Std Book" w:cs="Circular Std Book"/>
          <w:szCs w:val="24"/>
        </w:rPr>
        <w:t>an analysis of our behaviour</w:t>
      </w:r>
      <w:r w:rsidR="005D542F" w:rsidRPr="00BD3DEF">
        <w:rPr>
          <w:rFonts w:ascii="Circular Std Book" w:hAnsi="Circular Std Book" w:cs="Circular Std Book"/>
          <w:szCs w:val="24"/>
        </w:rPr>
        <w:t>s</w:t>
      </w:r>
      <w:r w:rsidR="0000044D" w:rsidRPr="00BD3DEF">
        <w:rPr>
          <w:rFonts w:ascii="Circular Std Book" w:hAnsi="Circular Std Book" w:cs="Circular Std Book"/>
          <w:szCs w:val="24"/>
        </w:rPr>
        <w:t xml:space="preserve"> </w:t>
      </w:r>
      <w:r w:rsidRPr="00BD3DEF">
        <w:rPr>
          <w:rFonts w:ascii="Circular Std Book" w:hAnsi="Circular Std Book" w:cs="Circular Std Book"/>
          <w:szCs w:val="24"/>
        </w:rPr>
        <w:t xml:space="preserve">such as </w:t>
      </w:r>
      <w:r w:rsidR="00D87B07" w:rsidRPr="00BD3DEF">
        <w:rPr>
          <w:rFonts w:ascii="Circular Std Book" w:hAnsi="Circular Std Book" w:cs="Circular Std Book"/>
          <w:szCs w:val="24"/>
        </w:rPr>
        <w:t>smoking tobac</w:t>
      </w:r>
      <w:r w:rsidR="00CF637D" w:rsidRPr="00BD3DEF">
        <w:rPr>
          <w:rFonts w:ascii="Circular Std Book" w:hAnsi="Circular Std Book" w:cs="Circular Std Book"/>
          <w:szCs w:val="24"/>
        </w:rPr>
        <w:t>c</w:t>
      </w:r>
      <w:r w:rsidR="00D87B07" w:rsidRPr="00BD3DEF">
        <w:rPr>
          <w:rFonts w:ascii="Circular Std Book" w:hAnsi="Circular Std Book" w:cs="Circular Std Book"/>
          <w:szCs w:val="24"/>
        </w:rPr>
        <w:t xml:space="preserve">o, </w:t>
      </w:r>
      <w:r w:rsidRPr="00BD3DEF">
        <w:rPr>
          <w:rFonts w:ascii="Circular Std Book" w:hAnsi="Circular Std Book" w:cs="Circular Std Book"/>
          <w:szCs w:val="24"/>
        </w:rPr>
        <w:t>using drugs, gambling</w:t>
      </w:r>
      <w:r w:rsidR="005D542F" w:rsidRPr="00BD3DEF">
        <w:rPr>
          <w:rFonts w:ascii="Circular Std Book" w:hAnsi="Circular Std Book" w:cs="Circular Std Book"/>
          <w:szCs w:val="24"/>
        </w:rPr>
        <w:t xml:space="preserve">, </w:t>
      </w:r>
      <w:r w:rsidRPr="00BD3DEF">
        <w:rPr>
          <w:rFonts w:ascii="Circular Std Book" w:hAnsi="Circular Std Book" w:cs="Circular Std Book"/>
          <w:szCs w:val="24"/>
        </w:rPr>
        <w:t>physical activity</w:t>
      </w:r>
      <w:r w:rsidR="005D542F" w:rsidRPr="00BD3DEF">
        <w:rPr>
          <w:rFonts w:ascii="Circular Std Book" w:hAnsi="Circular Std Book" w:cs="Circular Std Book"/>
          <w:szCs w:val="24"/>
        </w:rPr>
        <w:t xml:space="preserve"> and healthy eating</w:t>
      </w:r>
      <w:r w:rsidR="0000044D" w:rsidRPr="00BD3DEF">
        <w:rPr>
          <w:rFonts w:ascii="Circular Std Book" w:hAnsi="Circular Std Book" w:cs="Circular Std Book"/>
          <w:szCs w:val="24"/>
        </w:rPr>
        <w:t>.</w:t>
      </w:r>
    </w:p>
    <w:p w14:paraId="0EA79F68" w14:textId="77777777" w:rsidR="008E17B9" w:rsidRPr="00BD3DEF" w:rsidRDefault="00773623" w:rsidP="00BD3DEF">
      <w:pPr>
        <w:pStyle w:val="ListParagraph"/>
        <w:widowControl w:val="0"/>
        <w:numPr>
          <w:ilvl w:val="0"/>
          <w:numId w:val="1"/>
        </w:numPr>
        <w:tabs>
          <w:tab w:val="left" w:pos="2153"/>
          <w:tab w:val="left" w:pos="2154"/>
        </w:tabs>
        <w:autoSpaceDE w:val="0"/>
        <w:autoSpaceDN w:val="0"/>
        <w:spacing w:before="0" w:after="0" w:line="360" w:lineRule="auto"/>
        <w:ind w:right="1136"/>
        <w:contextualSpacing w:val="0"/>
        <w:rPr>
          <w:rFonts w:ascii="Circular Std Book" w:hAnsi="Circular Std Book" w:cs="Circular Std Book"/>
          <w:szCs w:val="24"/>
        </w:rPr>
      </w:pPr>
      <w:r w:rsidRPr="00BD3DEF">
        <w:rPr>
          <w:rFonts w:ascii="Circular Std Book" w:hAnsi="Circular Std Book" w:cs="Circular Std Book"/>
          <w:b/>
          <w:szCs w:val="24"/>
        </w:rPr>
        <w:t xml:space="preserve">Individual living and working conditions - </w:t>
      </w:r>
      <w:r w:rsidRPr="00BD3DEF">
        <w:rPr>
          <w:rFonts w:ascii="Circular Std Book" w:hAnsi="Circular Std Book" w:cs="Circular Std Book"/>
          <w:bCs/>
          <w:szCs w:val="24"/>
        </w:rPr>
        <w:t xml:space="preserve">discussion and analysis </w:t>
      </w:r>
      <w:r w:rsidRPr="00BD3DEF">
        <w:rPr>
          <w:rFonts w:ascii="Circular Std Book" w:hAnsi="Circular Std Book" w:cs="Circular Std Book"/>
          <w:szCs w:val="24"/>
        </w:rPr>
        <w:t xml:space="preserve">of </w:t>
      </w:r>
      <w:r w:rsidR="005D542F" w:rsidRPr="00BD3DEF">
        <w:rPr>
          <w:rFonts w:ascii="Circular Std Book" w:hAnsi="Circular Std Book" w:cs="Circular Std Book"/>
          <w:szCs w:val="24"/>
        </w:rPr>
        <w:t xml:space="preserve">our individual </w:t>
      </w:r>
      <w:r w:rsidR="00FB0840" w:rsidRPr="00BD3DEF">
        <w:rPr>
          <w:rFonts w:ascii="Circular Std Book" w:hAnsi="Circular Std Book" w:cs="Circular Std Book"/>
          <w:szCs w:val="24"/>
        </w:rPr>
        <w:t xml:space="preserve">socio-economic position </w:t>
      </w:r>
      <w:r w:rsidR="008E17B9" w:rsidRPr="00BD3DEF">
        <w:rPr>
          <w:rFonts w:ascii="Circular Std Book" w:hAnsi="Circular Std Book" w:cs="Circular Std Book"/>
          <w:szCs w:val="24"/>
        </w:rPr>
        <w:t xml:space="preserve">which includes education, employment, income </w:t>
      </w:r>
      <w:r w:rsidRPr="00BD3DEF">
        <w:rPr>
          <w:rFonts w:ascii="Circular Std Book" w:hAnsi="Circular Std Book" w:cs="Circular Std Book"/>
          <w:szCs w:val="24"/>
        </w:rPr>
        <w:t>and housing</w:t>
      </w:r>
      <w:r w:rsidR="008E17B9" w:rsidRPr="00BD3DEF">
        <w:rPr>
          <w:rFonts w:ascii="Circular Std Book" w:hAnsi="Circular Std Book" w:cs="Circular Std Book"/>
          <w:szCs w:val="24"/>
        </w:rPr>
        <w:t xml:space="preserve"> issues</w:t>
      </w:r>
      <w:r w:rsidR="0000044D" w:rsidRPr="00BD3DEF">
        <w:rPr>
          <w:rFonts w:ascii="Circular Std Book" w:hAnsi="Circular Std Book" w:cs="Circular Std Book"/>
          <w:szCs w:val="24"/>
        </w:rPr>
        <w:t>.</w:t>
      </w:r>
    </w:p>
    <w:p w14:paraId="4F9B0F67" w14:textId="6FEAE877" w:rsidR="0000044D" w:rsidRPr="00BD3DEF" w:rsidRDefault="00FB0840" w:rsidP="00BD3DEF">
      <w:pPr>
        <w:pStyle w:val="ListParagraph"/>
        <w:widowControl w:val="0"/>
        <w:numPr>
          <w:ilvl w:val="0"/>
          <w:numId w:val="1"/>
        </w:numPr>
        <w:tabs>
          <w:tab w:val="left" w:pos="2153"/>
          <w:tab w:val="left" w:pos="2154"/>
        </w:tabs>
        <w:autoSpaceDE w:val="0"/>
        <w:autoSpaceDN w:val="0"/>
        <w:spacing w:before="0" w:after="0" w:line="360" w:lineRule="auto"/>
        <w:ind w:right="1136"/>
        <w:contextualSpacing w:val="0"/>
        <w:rPr>
          <w:rFonts w:ascii="Circular Std Book" w:hAnsi="Circular Std Book" w:cs="Circular Std Book"/>
          <w:szCs w:val="24"/>
        </w:rPr>
      </w:pPr>
      <w:r w:rsidRPr="00BD3DEF">
        <w:rPr>
          <w:rFonts w:ascii="Circular Std Book" w:hAnsi="Circular Std Book" w:cs="Circular Std Book"/>
          <w:b/>
          <w:szCs w:val="24"/>
        </w:rPr>
        <w:t xml:space="preserve">Social and </w:t>
      </w:r>
      <w:r w:rsidR="005D542F" w:rsidRPr="00BD3DEF">
        <w:rPr>
          <w:rFonts w:ascii="Circular Std Book" w:hAnsi="Circular Std Book" w:cs="Circular Std Book"/>
          <w:b/>
          <w:szCs w:val="24"/>
        </w:rPr>
        <w:t>c</w:t>
      </w:r>
      <w:r w:rsidRPr="00BD3DEF">
        <w:rPr>
          <w:rFonts w:ascii="Circular Std Book" w:hAnsi="Circular Std Book" w:cs="Circular Std Book"/>
          <w:b/>
          <w:szCs w:val="24"/>
        </w:rPr>
        <w:t xml:space="preserve">ommunity </w:t>
      </w:r>
      <w:r w:rsidR="005D542F" w:rsidRPr="00BD3DEF">
        <w:rPr>
          <w:rFonts w:ascii="Circular Std Book" w:hAnsi="Circular Std Book" w:cs="Circular Std Book"/>
          <w:b/>
          <w:szCs w:val="24"/>
        </w:rPr>
        <w:t>n</w:t>
      </w:r>
      <w:r w:rsidRPr="00BD3DEF">
        <w:rPr>
          <w:rFonts w:ascii="Circular Std Book" w:hAnsi="Circular Std Book" w:cs="Circular Std Book"/>
          <w:b/>
          <w:szCs w:val="24"/>
        </w:rPr>
        <w:t xml:space="preserve">etworks </w:t>
      </w:r>
      <w:r w:rsidRPr="00BD3DEF">
        <w:rPr>
          <w:rFonts w:ascii="Circular Std Book" w:hAnsi="Circular Std Book" w:cs="Circular Std Book"/>
          <w:szCs w:val="24"/>
        </w:rPr>
        <w:t xml:space="preserve">– an overview of social and community </w:t>
      </w:r>
      <w:r w:rsidR="0000044D" w:rsidRPr="00BD3DEF">
        <w:rPr>
          <w:rFonts w:ascii="Circular Std Book" w:hAnsi="Circular Std Book" w:cs="Circular Std Book"/>
          <w:szCs w:val="24"/>
        </w:rPr>
        <w:t>relationships</w:t>
      </w:r>
      <w:r w:rsidR="00D412DE">
        <w:rPr>
          <w:rFonts w:ascii="Circular Std Book" w:hAnsi="Circular Std Book" w:cs="Circular Std Book"/>
          <w:szCs w:val="24"/>
        </w:rPr>
        <w:t>,</w:t>
      </w:r>
      <w:r w:rsidRPr="00BD3DEF">
        <w:rPr>
          <w:rFonts w:ascii="Circular Std Book" w:hAnsi="Circular Std Book" w:cs="Circular Std Book"/>
          <w:szCs w:val="24"/>
        </w:rPr>
        <w:t xml:space="preserve"> including social connection</w:t>
      </w:r>
      <w:r w:rsidR="008E17B9" w:rsidRPr="00BD3DEF">
        <w:rPr>
          <w:rFonts w:ascii="Circular Std Book" w:hAnsi="Circular Std Book" w:cs="Circular Std Book"/>
          <w:szCs w:val="24"/>
        </w:rPr>
        <w:t>,</w:t>
      </w:r>
      <w:r w:rsidR="0000044D" w:rsidRPr="00BD3DEF">
        <w:rPr>
          <w:rFonts w:ascii="Circular Std Book" w:hAnsi="Circular Std Book" w:cs="Circular Std Book"/>
          <w:szCs w:val="24"/>
        </w:rPr>
        <w:t xml:space="preserve"> </w:t>
      </w:r>
      <w:r w:rsidRPr="00BD3DEF">
        <w:rPr>
          <w:rFonts w:ascii="Circular Std Book" w:hAnsi="Circular Std Book" w:cs="Circular Std Book"/>
          <w:szCs w:val="24"/>
        </w:rPr>
        <w:t xml:space="preserve">family violence </w:t>
      </w:r>
      <w:r w:rsidR="0000044D" w:rsidRPr="00BD3DEF">
        <w:rPr>
          <w:rFonts w:ascii="Circular Std Book" w:hAnsi="Circular Std Book" w:cs="Circular Std Book"/>
          <w:szCs w:val="24"/>
        </w:rPr>
        <w:t>and perceptions of community safety.</w:t>
      </w:r>
    </w:p>
    <w:p w14:paraId="0AAACC38" w14:textId="681E73AE" w:rsidR="00FB0840" w:rsidRPr="00BD3DEF" w:rsidRDefault="00FB0840" w:rsidP="00BD3DEF">
      <w:pPr>
        <w:pStyle w:val="ListParagraph"/>
        <w:widowControl w:val="0"/>
        <w:numPr>
          <w:ilvl w:val="0"/>
          <w:numId w:val="1"/>
        </w:numPr>
        <w:tabs>
          <w:tab w:val="left" w:pos="2153"/>
          <w:tab w:val="left" w:pos="2154"/>
        </w:tabs>
        <w:autoSpaceDE w:val="0"/>
        <w:autoSpaceDN w:val="0"/>
        <w:spacing w:before="0" w:after="0" w:line="360" w:lineRule="auto"/>
        <w:ind w:right="1136"/>
        <w:contextualSpacing w:val="0"/>
        <w:rPr>
          <w:rFonts w:ascii="Circular Std Book" w:hAnsi="Circular Std Book" w:cs="Circular Std Book"/>
          <w:szCs w:val="24"/>
        </w:rPr>
      </w:pPr>
      <w:r w:rsidRPr="00BD3DEF">
        <w:rPr>
          <w:rFonts w:ascii="Circular Std Book" w:hAnsi="Circular Std Book" w:cs="Circular Std Book"/>
          <w:b/>
          <w:szCs w:val="24"/>
        </w:rPr>
        <w:t xml:space="preserve">Neighbourhood and </w:t>
      </w:r>
      <w:r w:rsidR="005D542F" w:rsidRPr="00BD3DEF">
        <w:rPr>
          <w:rFonts w:ascii="Circular Std Book" w:hAnsi="Circular Std Book" w:cs="Circular Std Book"/>
          <w:b/>
          <w:szCs w:val="24"/>
        </w:rPr>
        <w:t>e</w:t>
      </w:r>
      <w:r w:rsidRPr="00BD3DEF">
        <w:rPr>
          <w:rFonts w:ascii="Circular Std Book" w:hAnsi="Circular Std Book" w:cs="Circular Std Book"/>
          <w:b/>
          <w:szCs w:val="24"/>
        </w:rPr>
        <w:t xml:space="preserve">nvironmental </w:t>
      </w:r>
      <w:r w:rsidR="005D542F" w:rsidRPr="00BD3DEF">
        <w:rPr>
          <w:rFonts w:ascii="Circular Std Book" w:hAnsi="Circular Std Book" w:cs="Circular Std Book"/>
          <w:b/>
          <w:szCs w:val="24"/>
        </w:rPr>
        <w:t>c</w:t>
      </w:r>
      <w:r w:rsidRPr="00BD3DEF">
        <w:rPr>
          <w:rFonts w:ascii="Circular Std Book" w:hAnsi="Circular Std Book" w:cs="Circular Std Book"/>
          <w:b/>
          <w:szCs w:val="24"/>
        </w:rPr>
        <w:t xml:space="preserve">onditions </w:t>
      </w:r>
      <w:r w:rsidRPr="00BD3DEF">
        <w:rPr>
          <w:rFonts w:ascii="Circular Std Book" w:hAnsi="Circular Std Book" w:cs="Circular Std Book"/>
          <w:szCs w:val="24"/>
        </w:rPr>
        <w:t>– an analysis of the neighbourhood level</w:t>
      </w:r>
      <w:r w:rsidR="0029000B" w:rsidRPr="00BD3DEF">
        <w:rPr>
          <w:rFonts w:ascii="Circular Std Book" w:hAnsi="Circular Std Book" w:cs="Circular Std Book"/>
          <w:szCs w:val="24"/>
        </w:rPr>
        <w:t xml:space="preserve"> </w:t>
      </w:r>
      <w:r w:rsidRPr="00BD3DEF">
        <w:rPr>
          <w:rFonts w:ascii="Circular Std Book" w:hAnsi="Circular Std Book" w:cs="Circular Std Book"/>
          <w:szCs w:val="24"/>
        </w:rPr>
        <w:t>determinants of health</w:t>
      </w:r>
      <w:r w:rsidR="009021C6">
        <w:rPr>
          <w:rFonts w:ascii="Circular Std Book" w:hAnsi="Circular Std Book" w:cs="Circular Std Book"/>
          <w:szCs w:val="24"/>
        </w:rPr>
        <w:t>,</w:t>
      </w:r>
      <w:r w:rsidRPr="00BD3DEF">
        <w:rPr>
          <w:rFonts w:ascii="Circular Std Book" w:hAnsi="Circular Std Book" w:cs="Circular Std Book"/>
          <w:szCs w:val="24"/>
        </w:rPr>
        <w:t xml:space="preserve"> including </w:t>
      </w:r>
      <w:r w:rsidR="008E17B9" w:rsidRPr="00BD3DEF">
        <w:rPr>
          <w:rFonts w:ascii="Circular Std Book" w:hAnsi="Circular Std Book" w:cs="Circular Std Book"/>
          <w:szCs w:val="24"/>
        </w:rPr>
        <w:t xml:space="preserve">the </w:t>
      </w:r>
      <w:r w:rsidRPr="00BD3DEF">
        <w:rPr>
          <w:rFonts w:ascii="Circular Std Book" w:hAnsi="Circular Std Book" w:cs="Circular Std Book"/>
          <w:szCs w:val="24"/>
        </w:rPr>
        <w:t>built</w:t>
      </w:r>
      <w:r w:rsidR="008E17B9" w:rsidRPr="00BD3DEF">
        <w:rPr>
          <w:rFonts w:ascii="Circular Std Book" w:hAnsi="Circular Std Book" w:cs="Circular Std Book"/>
          <w:szCs w:val="24"/>
        </w:rPr>
        <w:t xml:space="preserve"> and</w:t>
      </w:r>
      <w:r w:rsidRPr="00BD3DEF">
        <w:rPr>
          <w:rFonts w:ascii="Circular Std Book" w:hAnsi="Circular Std Book" w:cs="Circular Std Book"/>
          <w:szCs w:val="24"/>
        </w:rPr>
        <w:t xml:space="preserve"> natural environment</w:t>
      </w:r>
      <w:r w:rsidR="005D542F" w:rsidRPr="00BD3DEF">
        <w:rPr>
          <w:rFonts w:ascii="Circular Std Book" w:hAnsi="Circular Std Book" w:cs="Circular Std Book"/>
          <w:szCs w:val="24"/>
        </w:rPr>
        <w:t>,</w:t>
      </w:r>
      <w:r w:rsidRPr="00BD3DEF">
        <w:rPr>
          <w:rFonts w:ascii="Circular Std Book" w:hAnsi="Circular Std Book" w:cs="Circular Std Book"/>
          <w:szCs w:val="24"/>
        </w:rPr>
        <w:t xml:space="preserve"> </w:t>
      </w:r>
      <w:r w:rsidR="00BA173C" w:rsidRPr="00BD3DEF">
        <w:rPr>
          <w:rFonts w:ascii="Circular Std Book" w:hAnsi="Circular Std Book" w:cs="Circular Std Book"/>
          <w:szCs w:val="24"/>
        </w:rPr>
        <w:t>as</w:t>
      </w:r>
      <w:r w:rsidRPr="00BD3DEF">
        <w:rPr>
          <w:rFonts w:ascii="Circular Std Book" w:hAnsi="Circular Std Book" w:cs="Circular Std Book"/>
          <w:szCs w:val="24"/>
        </w:rPr>
        <w:t xml:space="preserve"> well as climate </w:t>
      </w:r>
      <w:r w:rsidR="0000044D" w:rsidRPr="00BD3DEF">
        <w:rPr>
          <w:rFonts w:ascii="Circular Std Book" w:hAnsi="Circular Std Book" w:cs="Circular Std Book"/>
          <w:szCs w:val="24"/>
        </w:rPr>
        <w:t>change</w:t>
      </w:r>
      <w:r w:rsidRPr="00BD3DEF">
        <w:rPr>
          <w:rFonts w:ascii="Circular Std Book" w:hAnsi="Circular Std Book" w:cs="Circular Std Book"/>
          <w:szCs w:val="24"/>
        </w:rPr>
        <w:t>.</w:t>
      </w:r>
    </w:p>
    <w:p w14:paraId="5569461A" w14:textId="77777777" w:rsidR="00FB0840" w:rsidRPr="00BD3DEF" w:rsidRDefault="00FB0840" w:rsidP="00BD3DEF">
      <w:pPr>
        <w:pStyle w:val="ListParagraph"/>
        <w:widowControl w:val="0"/>
        <w:numPr>
          <w:ilvl w:val="0"/>
          <w:numId w:val="1"/>
        </w:numPr>
        <w:tabs>
          <w:tab w:val="left" w:pos="2153"/>
          <w:tab w:val="left" w:pos="2154"/>
        </w:tabs>
        <w:autoSpaceDE w:val="0"/>
        <w:autoSpaceDN w:val="0"/>
        <w:spacing w:before="0" w:after="0" w:line="360" w:lineRule="auto"/>
        <w:ind w:right="1134"/>
        <w:contextualSpacing w:val="0"/>
        <w:rPr>
          <w:rFonts w:ascii="Circular Std Book" w:hAnsi="Circular Std Book" w:cs="Circular Std Book"/>
          <w:szCs w:val="24"/>
        </w:rPr>
      </w:pPr>
      <w:r w:rsidRPr="00BD3DEF">
        <w:rPr>
          <w:rFonts w:ascii="Circular Std Book" w:hAnsi="Circular Std Book" w:cs="Circular Std Book"/>
          <w:b/>
          <w:szCs w:val="24"/>
        </w:rPr>
        <w:t xml:space="preserve">Health and </w:t>
      </w:r>
      <w:r w:rsidR="0000044D" w:rsidRPr="00BD3DEF">
        <w:rPr>
          <w:rFonts w:ascii="Circular Std Book" w:hAnsi="Circular Std Book" w:cs="Circular Std Book"/>
          <w:b/>
          <w:szCs w:val="24"/>
        </w:rPr>
        <w:t>wellbeing</w:t>
      </w:r>
      <w:r w:rsidRPr="00BD3DEF">
        <w:rPr>
          <w:rFonts w:ascii="Circular Std Book" w:hAnsi="Circular Std Book" w:cs="Circular Std Book"/>
          <w:b/>
          <w:szCs w:val="24"/>
        </w:rPr>
        <w:t xml:space="preserve"> outcomes</w:t>
      </w:r>
      <w:r w:rsidR="0000044D" w:rsidRPr="00BD3DEF">
        <w:rPr>
          <w:rFonts w:ascii="Circular Std Book" w:hAnsi="Circular Std Book" w:cs="Circular Std Book"/>
          <w:b/>
          <w:szCs w:val="24"/>
        </w:rPr>
        <w:t>-</w:t>
      </w:r>
      <w:r w:rsidRPr="00BD3DEF">
        <w:rPr>
          <w:rFonts w:ascii="Circular Std Book" w:hAnsi="Circular Std Book" w:cs="Circular Std Book"/>
          <w:szCs w:val="24"/>
        </w:rPr>
        <w:t xml:space="preserve"> an assessment of the health and wellbeing outcomes such as life expectancy, self-reported health status, injury, illness and death.</w:t>
      </w:r>
    </w:p>
    <w:bookmarkEnd w:id="10"/>
    <w:p w14:paraId="42B33168" w14:textId="77777777" w:rsidR="00B94E8B" w:rsidRPr="00BD3DEF" w:rsidRDefault="00B94E8B" w:rsidP="00BD3DEF">
      <w:pPr>
        <w:pStyle w:val="ListParagraph"/>
        <w:spacing w:before="100" w:beforeAutospacing="1" w:after="100" w:afterAutospacing="1" w:line="360" w:lineRule="auto"/>
        <w:ind w:left="1065"/>
        <w:rPr>
          <w:rFonts w:ascii="Circular Std Book" w:hAnsi="Circular Std Book" w:cs="Circular Std Book"/>
          <w:szCs w:val="24"/>
        </w:rPr>
      </w:pPr>
    </w:p>
    <w:p w14:paraId="6F7B3413" w14:textId="77777777" w:rsidR="008E17B9" w:rsidRPr="00B2525C" w:rsidRDefault="008E17B9" w:rsidP="00494824">
      <w:pPr>
        <w:rPr>
          <w:rFonts w:cs="Arial"/>
          <w:szCs w:val="24"/>
        </w:rPr>
      </w:pPr>
      <w:r w:rsidRPr="00B2525C">
        <w:rPr>
          <w:rFonts w:cs="Arial"/>
          <w:szCs w:val="24"/>
        </w:rPr>
        <w:br w:type="page"/>
      </w:r>
    </w:p>
    <w:p w14:paraId="6489C02D" w14:textId="5BD327FF" w:rsidR="00C918A0" w:rsidRPr="0039503D" w:rsidRDefault="007E42D9" w:rsidP="0039503D">
      <w:pPr>
        <w:pStyle w:val="Heading3"/>
      </w:pPr>
      <w:r w:rsidRPr="0039503D">
        <w:lastRenderedPageBreak/>
        <w:t>Frameworks</w:t>
      </w:r>
    </w:p>
    <w:p w14:paraId="139E612E" w14:textId="5E596AA0" w:rsidR="00CF637D" w:rsidRDefault="00CF637D" w:rsidP="004C17A8">
      <w:pPr>
        <w:rPr>
          <w:rFonts w:cs="Arial"/>
        </w:rPr>
      </w:pPr>
      <w:r w:rsidRPr="00B2525C">
        <w:rPr>
          <w:rFonts w:cs="Arial"/>
        </w:rPr>
        <w:t xml:space="preserve">The </w:t>
      </w:r>
      <w:r w:rsidR="00CE7658">
        <w:rPr>
          <w:rFonts w:cs="Arial"/>
        </w:rPr>
        <w:t xml:space="preserve">Municipal </w:t>
      </w:r>
      <w:r w:rsidRPr="00B2525C">
        <w:rPr>
          <w:rFonts w:cs="Arial"/>
        </w:rPr>
        <w:t>Health Profile is underpinned by frameworks for thinking about public health and wellbeing</w:t>
      </w:r>
      <w:r w:rsidR="00D412DE">
        <w:rPr>
          <w:rFonts w:cs="Arial"/>
        </w:rPr>
        <w:t>,</w:t>
      </w:r>
      <w:r w:rsidRPr="00B2525C">
        <w:rPr>
          <w:rFonts w:cs="Arial"/>
        </w:rPr>
        <w:t xml:space="preserve"> including </w:t>
      </w:r>
      <w:r w:rsidR="00CD2D66">
        <w:rPr>
          <w:rFonts w:cs="Arial"/>
        </w:rPr>
        <w:t>the MV</w:t>
      </w:r>
      <w:r w:rsidRPr="00B2525C">
        <w:rPr>
          <w:rFonts w:cs="Arial"/>
        </w:rPr>
        <w:t xml:space="preserve"> 2040</w:t>
      </w:r>
      <w:r w:rsidR="00CD2D66">
        <w:rPr>
          <w:rFonts w:cs="Arial"/>
        </w:rPr>
        <w:t xml:space="preserve"> strategy</w:t>
      </w:r>
      <w:r w:rsidRPr="00B2525C">
        <w:rPr>
          <w:rFonts w:cs="Arial"/>
        </w:rPr>
        <w:t xml:space="preserve"> vision of a ‘healthy city</w:t>
      </w:r>
      <w:r w:rsidR="00D412DE">
        <w:rPr>
          <w:rFonts w:cs="Arial"/>
        </w:rPr>
        <w:t>’</w:t>
      </w:r>
      <w:r w:rsidRPr="00B2525C">
        <w:rPr>
          <w:rFonts w:cs="Arial"/>
        </w:rPr>
        <w:t xml:space="preserve"> and the social determinants (socio-ecological) model of health. These are described in more detail below.</w:t>
      </w:r>
    </w:p>
    <w:p w14:paraId="1114DD72" w14:textId="50AC2466" w:rsidR="006945CD" w:rsidRPr="00B2525C" w:rsidRDefault="00CD2D66" w:rsidP="002145A7">
      <w:pPr>
        <w:pStyle w:val="Heading3"/>
        <w:rPr>
          <w:rFonts w:cs="Arial"/>
        </w:rPr>
      </w:pPr>
      <w:r>
        <w:rPr>
          <w:rFonts w:cs="Arial"/>
        </w:rPr>
        <w:t>MV</w:t>
      </w:r>
      <w:r w:rsidR="0029000B" w:rsidRPr="00B2525C">
        <w:rPr>
          <w:rFonts w:cs="Arial"/>
        </w:rPr>
        <w:t xml:space="preserve"> </w:t>
      </w:r>
      <w:r w:rsidR="00B01D14" w:rsidRPr="00B2525C">
        <w:rPr>
          <w:rFonts w:cs="Arial"/>
        </w:rPr>
        <w:t>2040</w:t>
      </w:r>
      <w:r w:rsidR="00354539" w:rsidRPr="00B2525C">
        <w:rPr>
          <w:rFonts w:cs="Arial"/>
        </w:rPr>
        <w:t xml:space="preserve"> Strategy</w:t>
      </w:r>
      <w:r w:rsidR="007127B6" w:rsidRPr="00B2525C">
        <w:rPr>
          <w:rFonts w:cs="Arial"/>
        </w:rPr>
        <w:t xml:space="preserve">: </w:t>
      </w:r>
      <w:r w:rsidR="006945CD" w:rsidRPr="00B2525C">
        <w:rPr>
          <w:rFonts w:cs="Arial"/>
        </w:rPr>
        <w:t>Vision of ‘a healthy city’</w:t>
      </w:r>
      <w:r w:rsidR="00354539" w:rsidRPr="00B2525C">
        <w:rPr>
          <w:rFonts w:cs="Arial"/>
        </w:rPr>
        <w:t xml:space="preserve"> </w:t>
      </w:r>
    </w:p>
    <w:p w14:paraId="68800CDE" w14:textId="210110E1" w:rsidR="00EB5558" w:rsidRPr="00B2525C" w:rsidRDefault="00EB5558" w:rsidP="00EB5558">
      <w:pPr>
        <w:rPr>
          <w:rFonts w:cs="Arial"/>
        </w:rPr>
      </w:pPr>
      <w:bookmarkStart w:id="11" w:name="_Toc511292281"/>
      <w:r w:rsidRPr="00B2525C">
        <w:rPr>
          <w:rFonts w:cs="Arial"/>
        </w:rPr>
        <w:t xml:space="preserve">The </w:t>
      </w:r>
      <w:r w:rsidR="00CD2D66">
        <w:rPr>
          <w:rFonts w:cs="Arial"/>
        </w:rPr>
        <w:t>MV</w:t>
      </w:r>
      <w:r w:rsidR="00CE7658">
        <w:rPr>
          <w:rFonts w:cs="Arial"/>
        </w:rPr>
        <w:t xml:space="preserve"> 2040 </w:t>
      </w:r>
      <w:r w:rsidRPr="00B2525C">
        <w:rPr>
          <w:rFonts w:cs="Arial"/>
        </w:rPr>
        <w:t>Strategy</w:t>
      </w:r>
      <w:r w:rsidR="00D412DE">
        <w:rPr>
          <w:rFonts w:cs="Arial"/>
        </w:rPr>
        <w:t xml:space="preserve"> </w:t>
      </w:r>
      <w:r w:rsidRPr="00B2525C">
        <w:rPr>
          <w:rFonts w:cs="Arial"/>
        </w:rPr>
        <w:t>is guided by a vision of `A healthy city’</w:t>
      </w:r>
      <w:bookmarkEnd w:id="11"/>
      <w:r w:rsidR="00CE7658">
        <w:rPr>
          <w:rFonts w:cs="Arial"/>
        </w:rPr>
        <w:t xml:space="preserve">. </w:t>
      </w:r>
      <w:r w:rsidRPr="00B2525C">
        <w:rPr>
          <w:rFonts w:cs="Arial"/>
        </w:rPr>
        <w:t>The vision is that:</w:t>
      </w:r>
    </w:p>
    <w:p w14:paraId="137A922B" w14:textId="77777777" w:rsidR="000052A8" w:rsidRDefault="00EB5558" w:rsidP="00C918A0">
      <w:pPr>
        <w:pStyle w:val="Quote"/>
        <w:rPr>
          <w:rFonts w:cs="Arial"/>
        </w:rPr>
      </w:pPr>
      <w:bookmarkStart w:id="12" w:name="_Toc511292282"/>
      <w:r w:rsidRPr="00B2525C">
        <w:rPr>
          <w:rFonts w:cs="Arial"/>
        </w:rPr>
        <w:t>In 2040 Moonee Valley is a great place to live, work and visit, strengthened by a network of 20-minute neighbourhoods. Our neighbourhoods allow all people, at all stages of life, to live locally, accessing most of their needs close to their home. Our neighbourhoods are beautiful, sustainable and hold strong community connections which enable citizens and the environment to be healthy and resilient.</w:t>
      </w:r>
      <w:bookmarkStart w:id="13" w:name="_Toc511292283"/>
      <w:bookmarkEnd w:id="12"/>
    </w:p>
    <w:p w14:paraId="60463637" w14:textId="77777777" w:rsidR="00EB5558" w:rsidRPr="00B2525C" w:rsidRDefault="00EB5558" w:rsidP="00EB5558">
      <w:pPr>
        <w:rPr>
          <w:rFonts w:cs="Arial"/>
        </w:rPr>
      </w:pPr>
      <w:r w:rsidRPr="00B2525C">
        <w:rPr>
          <w:rFonts w:cs="Arial"/>
        </w:rPr>
        <w:t>These are five</w:t>
      </w:r>
      <w:r w:rsidR="0029000B" w:rsidRPr="00B2525C">
        <w:rPr>
          <w:rFonts w:cs="Arial"/>
        </w:rPr>
        <w:t xml:space="preserve"> </w:t>
      </w:r>
      <w:r w:rsidR="00CE7658">
        <w:rPr>
          <w:rFonts w:cs="Arial"/>
        </w:rPr>
        <w:t>themes</w:t>
      </w:r>
      <w:r w:rsidRPr="00B2525C">
        <w:rPr>
          <w:rFonts w:cs="Arial"/>
        </w:rPr>
        <w:t xml:space="preserve"> </w:t>
      </w:r>
      <w:r w:rsidR="00CE7658">
        <w:rPr>
          <w:rFonts w:cs="Arial"/>
        </w:rPr>
        <w:t xml:space="preserve">for the </w:t>
      </w:r>
      <w:r w:rsidRPr="00B2525C">
        <w:rPr>
          <w:rFonts w:cs="Arial"/>
        </w:rPr>
        <w:t>healthy city:</w:t>
      </w:r>
    </w:p>
    <w:p w14:paraId="009AB779" w14:textId="77777777" w:rsidR="00EB5558" w:rsidRPr="000052A8" w:rsidRDefault="00EB5558" w:rsidP="00CE7658">
      <w:pPr>
        <w:pStyle w:val="ListParagraph"/>
        <w:numPr>
          <w:ilvl w:val="0"/>
          <w:numId w:val="4"/>
        </w:numPr>
        <w:spacing w:before="0" w:line="276" w:lineRule="auto"/>
        <w:rPr>
          <w:rFonts w:ascii="Circular Std Book" w:hAnsi="Circular Std Book" w:cs="Circular Std Book"/>
        </w:rPr>
      </w:pPr>
      <w:r w:rsidRPr="000052A8">
        <w:rPr>
          <w:rFonts w:ascii="Circular Std Book" w:hAnsi="Circular Std Book" w:cs="Circular Std Book"/>
        </w:rPr>
        <w:t xml:space="preserve">A </w:t>
      </w:r>
      <w:r w:rsidRPr="000052A8">
        <w:rPr>
          <w:rFonts w:ascii="Circular Std Book" w:hAnsi="Circular Std Book" w:cs="Circular Std Book"/>
          <w:b/>
        </w:rPr>
        <w:t>fair</w:t>
      </w:r>
      <w:r w:rsidRPr="000052A8">
        <w:rPr>
          <w:rFonts w:ascii="Circular Std Book" w:hAnsi="Circular Std Book" w:cs="Circular Std Book"/>
        </w:rPr>
        <w:t xml:space="preserve"> city that values diversity, where everyone feels safe, is included, is healthy and has access to services and housing.</w:t>
      </w:r>
    </w:p>
    <w:p w14:paraId="4A7D481E" w14:textId="77777777" w:rsidR="00EB5558" w:rsidRPr="000052A8" w:rsidRDefault="00EB5558" w:rsidP="00CE7658">
      <w:pPr>
        <w:pStyle w:val="ListParagraph"/>
        <w:numPr>
          <w:ilvl w:val="0"/>
          <w:numId w:val="4"/>
        </w:numPr>
        <w:spacing w:before="0" w:line="276" w:lineRule="auto"/>
        <w:rPr>
          <w:rFonts w:ascii="Circular Std Book" w:hAnsi="Circular Std Book" w:cs="Circular Std Book"/>
        </w:rPr>
      </w:pPr>
      <w:r w:rsidRPr="000052A8">
        <w:rPr>
          <w:rFonts w:ascii="Circular Std Book" w:hAnsi="Circular Std Book" w:cs="Circular Std Book"/>
        </w:rPr>
        <w:t xml:space="preserve">A </w:t>
      </w:r>
      <w:r w:rsidRPr="000052A8">
        <w:rPr>
          <w:rFonts w:ascii="Circular Std Book" w:hAnsi="Circular Std Book" w:cs="Circular Std Book"/>
          <w:b/>
        </w:rPr>
        <w:t>thriving</w:t>
      </w:r>
      <w:r w:rsidRPr="000052A8">
        <w:rPr>
          <w:rFonts w:ascii="Circular Std Book" w:hAnsi="Circular Std Book" w:cs="Circular Std Book"/>
        </w:rPr>
        <w:t xml:space="preserve"> city with access to jobs, lifelong learning, vibrant and dynamic activity centres.</w:t>
      </w:r>
    </w:p>
    <w:p w14:paraId="4344725A" w14:textId="77777777" w:rsidR="00EB5558" w:rsidRPr="000052A8" w:rsidRDefault="00EB5558" w:rsidP="00CE7658">
      <w:pPr>
        <w:pStyle w:val="ListParagraph"/>
        <w:numPr>
          <w:ilvl w:val="0"/>
          <w:numId w:val="4"/>
        </w:numPr>
        <w:spacing w:before="0" w:line="276" w:lineRule="auto"/>
        <w:rPr>
          <w:rFonts w:ascii="Circular Std Book" w:hAnsi="Circular Std Book" w:cs="Circular Std Book"/>
        </w:rPr>
      </w:pPr>
      <w:r w:rsidRPr="000052A8">
        <w:rPr>
          <w:rFonts w:ascii="Circular Std Book" w:hAnsi="Circular Std Book" w:cs="Circular Std Book"/>
        </w:rPr>
        <w:t xml:space="preserve">A </w:t>
      </w:r>
      <w:r w:rsidRPr="000052A8">
        <w:rPr>
          <w:rFonts w:ascii="Circular Std Book" w:hAnsi="Circular Std Book" w:cs="Circular Std Book"/>
          <w:b/>
        </w:rPr>
        <w:t>connected</w:t>
      </w:r>
      <w:r w:rsidRPr="000052A8">
        <w:rPr>
          <w:rFonts w:ascii="Circular Std Book" w:hAnsi="Circular Std Book" w:cs="Circular Std Book"/>
        </w:rPr>
        <w:t xml:space="preserve"> city of accessible, active and sustainable transport choices.</w:t>
      </w:r>
    </w:p>
    <w:p w14:paraId="33E3C8A1" w14:textId="77777777" w:rsidR="00EB5558" w:rsidRPr="000052A8" w:rsidRDefault="00EB5558" w:rsidP="00CE7658">
      <w:pPr>
        <w:pStyle w:val="ListParagraph"/>
        <w:numPr>
          <w:ilvl w:val="0"/>
          <w:numId w:val="4"/>
        </w:numPr>
        <w:spacing w:before="0" w:line="276" w:lineRule="auto"/>
        <w:rPr>
          <w:rFonts w:ascii="Circular Std Book" w:hAnsi="Circular Std Book" w:cs="Circular Std Book"/>
        </w:rPr>
      </w:pPr>
      <w:r w:rsidRPr="000052A8">
        <w:rPr>
          <w:rFonts w:ascii="Circular Std Book" w:hAnsi="Circular Std Book" w:cs="Circular Std Book"/>
        </w:rPr>
        <w:t xml:space="preserve">A </w:t>
      </w:r>
      <w:r w:rsidRPr="000052A8">
        <w:rPr>
          <w:rFonts w:ascii="Circular Std Book" w:hAnsi="Circular Std Book" w:cs="Circular Std Book"/>
          <w:b/>
        </w:rPr>
        <w:t>green</w:t>
      </w:r>
      <w:r w:rsidRPr="000052A8">
        <w:rPr>
          <w:rFonts w:ascii="Circular Std Book" w:hAnsi="Circular Std Book" w:cs="Circular Std Book"/>
        </w:rPr>
        <w:t xml:space="preserve"> city that is ecologically healthy and environmentally responsible.</w:t>
      </w:r>
    </w:p>
    <w:p w14:paraId="44948B79" w14:textId="77777777" w:rsidR="00EB5558" w:rsidRPr="000052A8" w:rsidRDefault="00EB5558" w:rsidP="00CE7658">
      <w:pPr>
        <w:pStyle w:val="ListParagraph"/>
        <w:numPr>
          <w:ilvl w:val="0"/>
          <w:numId w:val="4"/>
        </w:numPr>
        <w:spacing w:before="0" w:line="276" w:lineRule="auto"/>
        <w:rPr>
          <w:rFonts w:ascii="Circular Std Book" w:hAnsi="Circular Std Book" w:cs="Circular Std Book"/>
        </w:rPr>
      </w:pPr>
      <w:r w:rsidRPr="000052A8">
        <w:rPr>
          <w:rFonts w:ascii="Circular Std Book" w:hAnsi="Circular Std Book" w:cs="Circular Std Book"/>
        </w:rPr>
        <w:t xml:space="preserve">A </w:t>
      </w:r>
      <w:r w:rsidRPr="000052A8">
        <w:rPr>
          <w:rFonts w:ascii="Circular Std Book" w:hAnsi="Circular Std Book" w:cs="Circular Std Book"/>
          <w:b/>
        </w:rPr>
        <w:t>beautiful</w:t>
      </w:r>
      <w:r w:rsidRPr="000052A8">
        <w:rPr>
          <w:rFonts w:ascii="Circular Std Book" w:hAnsi="Circular Std Book" w:cs="Circular Std Book"/>
        </w:rPr>
        <w:t xml:space="preserve"> city that celebrates its identity, heritage and open spaces.</w:t>
      </w:r>
    </w:p>
    <w:p w14:paraId="11B789A3" w14:textId="77777777" w:rsidR="002607B0" w:rsidRPr="000052A8" w:rsidRDefault="002607B0" w:rsidP="002607B0">
      <w:pPr>
        <w:pStyle w:val="ListParagraph"/>
        <w:spacing w:before="0" w:line="256" w:lineRule="auto"/>
        <w:ind w:left="360"/>
        <w:rPr>
          <w:rFonts w:asciiTheme="minorHAnsi" w:hAnsiTheme="minorHAnsi" w:cstheme="minorHAnsi"/>
        </w:rPr>
      </w:pPr>
    </w:p>
    <w:p w14:paraId="4927DC2D" w14:textId="635B3103" w:rsidR="002607B0" w:rsidRPr="000052A8" w:rsidRDefault="002607B0" w:rsidP="008D7722">
      <w:pPr>
        <w:spacing w:line="256" w:lineRule="auto"/>
        <w:rPr>
          <w:rFonts w:cs="Circular Std Book"/>
        </w:rPr>
      </w:pPr>
      <w:r w:rsidRPr="000052A8">
        <w:rPr>
          <w:rFonts w:cs="Circular Std Book"/>
          <w:b/>
        </w:rPr>
        <w:t>Figure</w:t>
      </w:r>
      <w:r w:rsidR="00EA337C">
        <w:rPr>
          <w:rFonts w:cs="Circular Std Book"/>
          <w:b/>
        </w:rPr>
        <w:t xml:space="preserve"> 1</w:t>
      </w:r>
      <w:r w:rsidR="00EA337C">
        <w:rPr>
          <w:rFonts w:cs="Circular Std Book"/>
        </w:rPr>
        <w:t xml:space="preserve">. </w:t>
      </w:r>
      <w:r w:rsidR="000052A8" w:rsidRPr="000052A8">
        <w:rPr>
          <w:rFonts w:cs="Circular Std Book"/>
        </w:rPr>
        <w:t xml:space="preserve"> </w:t>
      </w:r>
      <w:r w:rsidR="008D7722" w:rsidRPr="000052A8">
        <w:rPr>
          <w:rFonts w:cs="Circular Std Book"/>
        </w:rPr>
        <w:t>Moonee Valley City Council 2040 Vision</w:t>
      </w:r>
    </w:p>
    <w:bookmarkEnd w:id="13"/>
    <w:p w14:paraId="19367966" w14:textId="77777777" w:rsidR="00CF637D" w:rsidRPr="00B2525C" w:rsidRDefault="00CF637D" w:rsidP="000052A8">
      <w:pPr>
        <w:jc w:val="center"/>
        <w:rPr>
          <w:rFonts w:cs="Arial"/>
        </w:rPr>
      </w:pPr>
      <w:r w:rsidRPr="000052A8">
        <w:rPr>
          <w:rFonts w:cs="Arial"/>
          <w:b/>
          <w:noProof/>
        </w:rPr>
        <w:drawing>
          <wp:inline distT="0" distB="0" distL="0" distR="0" wp14:anchorId="1A025A92" wp14:editId="67595593">
            <wp:extent cx="3040170" cy="2989691"/>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9725" cy="3156430"/>
                    </a:xfrm>
                    <a:prstGeom prst="rect">
                      <a:avLst/>
                    </a:prstGeom>
                  </pic:spPr>
                </pic:pic>
              </a:graphicData>
            </a:graphic>
          </wp:inline>
        </w:drawing>
      </w:r>
    </w:p>
    <w:p w14:paraId="59DC09BB" w14:textId="3AC898E8" w:rsidR="000052A8" w:rsidRDefault="000052A8" w:rsidP="00CE7658">
      <w:pPr>
        <w:rPr>
          <w:rFonts w:cs="Arial"/>
        </w:rPr>
      </w:pPr>
      <w:r>
        <w:rPr>
          <w:rFonts w:cs="Arial"/>
        </w:rPr>
        <w:t>The MV2040 strategy</w:t>
      </w:r>
      <w:r w:rsidR="00EB5558" w:rsidRPr="00B2525C">
        <w:rPr>
          <w:rFonts w:cs="Arial"/>
        </w:rPr>
        <w:t xml:space="preserve"> will be delivered across 13 neighbourhoods, which will be planned so that people can access most of their everyday needs within a 20-minute walk, cycle or local public transport trip of their home. </w:t>
      </w:r>
      <w:bookmarkStart w:id="14" w:name="_Hlk75444189"/>
    </w:p>
    <w:p w14:paraId="696E364E" w14:textId="257D52EF" w:rsidR="00645C51" w:rsidRDefault="00A3604F" w:rsidP="002145A7">
      <w:pPr>
        <w:pStyle w:val="Heading3"/>
        <w:rPr>
          <w:rFonts w:cs="Arial"/>
        </w:rPr>
      </w:pPr>
      <w:r w:rsidRPr="00B2525C">
        <w:rPr>
          <w:rFonts w:cs="Arial"/>
        </w:rPr>
        <w:lastRenderedPageBreak/>
        <w:t xml:space="preserve">The </w:t>
      </w:r>
      <w:r w:rsidR="00B93B84">
        <w:rPr>
          <w:rFonts w:cs="Arial"/>
        </w:rPr>
        <w:t>Social D</w:t>
      </w:r>
      <w:r w:rsidRPr="00B2525C">
        <w:rPr>
          <w:rFonts w:cs="Arial"/>
        </w:rPr>
        <w:t xml:space="preserve">eterminants of </w:t>
      </w:r>
      <w:r w:rsidR="00B93B84">
        <w:rPr>
          <w:rFonts w:cs="Arial"/>
        </w:rPr>
        <w:t>H</w:t>
      </w:r>
      <w:r w:rsidRPr="00B2525C">
        <w:rPr>
          <w:rFonts w:cs="Arial"/>
        </w:rPr>
        <w:t>ealth (socio-ecological model of health)</w:t>
      </w:r>
    </w:p>
    <w:p w14:paraId="44263357" w14:textId="77777777" w:rsidR="007C4970" w:rsidRDefault="007C4970" w:rsidP="002607B0"/>
    <w:p w14:paraId="088C64C1" w14:textId="2F65CE5F" w:rsidR="002607B0" w:rsidRPr="002607B0" w:rsidRDefault="000052A8" w:rsidP="002607B0">
      <w:r w:rsidRPr="000052A8">
        <w:rPr>
          <w:b/>
        </w:rPr>
        <w:t>Figure</w:t>
      </w:r>
      <w:r w:rsidR="00EA337C">
        <w:rPr>
          <w:b/>
        </w:rPr>
        <w:t xml:space="preserve"> 2</w:t>
      </w:r>
      <w:r w:rsidR="00B93B84">
        <w:t>. T</w:t>
      </w:r>
      <w:r w:rsidR="007C4970">
        <w:t xml:space="preserve">he </w:t>
      </w:r>
      <w:r w:rsidR="00B93B84">
        <w:t>S</w:t>
      </w:r>
      <w:r w:rsidR="007C4970">
        <w:t xml:space="preserve">ocial </w:t>
      </w:r>
      <w:r w:rsidR="00B93B84">
        <w:t>D</w:t>
      </w:r>
      <w:r w:rsidR="007C4970">
        <w:t xml:space="preserve">eterminants of </w:t>
      </w:r>
      <w:r w:rsidR="00B93B84">
        <w:t>H</w:t>
      </w:r>
      <w:r w:rsidR="007C4970">
        <w:t>ealth</w:t>
      </w:r>
    </w:p>
    <w:p w14:paraId="0D01F2EB" w14:textId="77777777" w:rsidR="00B2525C" w:rsidRPr="002607B0" w:rsidRDefault="0023048D" w:rsidP="002607B0">
      <w:pPr>
        <w:rPr>
          <w:rFonts w:cs="Arial"/>
        </w:rPr>
      </w:pPr>
      <w:r w:rsidRPr="00B2525C">
        <w:rPr>
          <w:rFonts w:cs="Arial"/>
          <w:noProof/>
        </w:rPr>
        <w:t xml:space="preserve"> </w:t>
      </w:r>
      <w:r w:rsidRPr="00B2525C">
        <w:rPr>
          <w:rFonts w:cs="Arial"/>
          <w:noProof/>
        </w:rPr>
        <w:drawing>
          <wp:inline distT="0" distB="0" distL="0" distR="0" wp14:anchorId="6934CDA1" wp14:editId="1B525A87">
            <wp:extent cx="6450077" cy="4744016"/>
            <wp:effectExtent l="0" t="0" r="8255" b="0"/>
            <wp:docPr id="394" name="Picture 5" descr="A picture containing text, map&#10;&#10;Description automatically generated">
              <a:extLst xmlns:a="http://schemas.openxmlformats.org/drawingml/2006/main">
                <a:ext uri="{FF2B5EF4-FFF2-40B4-BE49-F238E27FC236}">
                  <a16:creationId xmlns:a16="http://schemas.microsoft.com/office/drawing/2014/main" id="{8E556CD4-1B4D-4D17-B0C3-9A8214300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map&#10;&#10;Description automatically generated">
                      <a:extLst>
                        <a:ext uri="{FF2B5EF4-FFF2-40B4-BE49-F238E27FC236}">
                          <a16:creationId xmlns:a16="http://schemas.microsoft.com/office/drawing/2014/main" id="{8E556CD4-1B4D-4D17-B0C3-9A821430049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81393" cy="4767049"/>
                    </a:xfrm>
                    <a:prstGeom prst="rect">
                      <a:avLst/>
                    </a:prstGeom>
                  </pic:spPr>
                </pic:pic>
              </a:graphicData>
            </a:graphic>
          </wp:inline>
        </w:drawing>
      </w:r>
    </w:p>
    <w:p w14:paraId="4D62906A" w14:textId="77777777" w:rsidR="006E55A0" w:rsidRPr="00B2525C" w:rsidRDefault="004F5EAA" w:rsidP="00B2525C">
      <w:pPr>
        <w:shd w:val="clear" w:color="auto" w:fill="FFFFFF"/>
        <w:spacing w:after="480"/>
        <w:rPr>
          <w:rFonts w:eastAsia="Times New Roman" w:cs="Arial"/>
          <w:color w:val="333333"/>
          <w:lang w:eastAsia="en-AU"/>
        </w:rPr>
      </w:pPr>
      <w:r w:rsidRPr="00B2525C">
        <w:rPr>
          <w:rFonts w:eastAsia="Times New Roman" w:cs="Arial"/>
          <w:color w:val="333333"/>
          <w:lang w:eastAsia="en-AU"/>
        </w:rPr>
        <w:t>H</w:t>
      </w:r>
      <w:r w:rsidR="005962EF" w:rsidRPr="00B2525C">
        <w:rPr>
          <w:rFonts w:eastAsia="Times New Roman" w:cs="Arial"/>
          <w:color w:val="333333"/>
          <w:lang w:eastAsia="en-AU"/>
        </w:rPr>
        <w:t xml:space="preserve">ealth </w:t>
      </w:r>
      <w:r w:rsidR="00206DFC" w:rsidRPr="00B2525C">
        <w:rPr>
          <w:rFonts w:eastAsia="Times New Roman" w:cs="Arial"/>
          <w:color w:val="333333"/>
          <w:lang w:eastAsia="en-AU"/>
        </w:rPr>
        <w:t xml:space="preserve">and wellbeing </w:t>
      </w:r>
      <w:r w:rsidR="005962EF" w:rsidRPr="00B2525C">
        <w:rPr>
          <w:rFonts w:eastAsia="Times New Roman" w:cs="Arial"/>
          <w:color w:val="333333"/>
          <w:lang w:eastAsia="en-AU"/>
        </w:rPr>
        <w:t>can be determined by</w:t>
      </w:r>
      <w:r w:rsidR="00206DFC" w:rsidRPr="00B2525C">
        <w:rPr>
          <w:rFonts w:eastAsia="Times New Roman" w:cs="Arial"/>
          <w:color w:val="333333"/>
          <w:lang w:eastAsia="en-AU"/>
        </w:rPr>
        <w:t xml:space="preserve"> </w:t>
      </w:r>
      <w:r w:rsidRPr="00B2525C">
        <w:rPr>
          <w:rFonts w:eastAsia="Times New Roman" w:cs="Arial"/>
          <w:color w:val="333333"/>
          <w:lang w:eastAsia="en-AU"/>
        </w:rPr>
        <w:t>many</w:t>
      </w:r>
      <w:r w:rsidR="00206DFC" w:rsidRPr="00B2525C">
        <w:rPr>
          <w:rFonts w:eastAsia="Times New Roman" w:cs="Arial"/>
          <w:color w:val="333333"/>
          <w:lang w:eastAsia="en-AU"/>
        </w:rPr>
        <w:t xml:space="preserve"> </w:t>
      </w:r>
      <w:r w:rsidRPr="00B2525C">
        <w:rPr>
          <w:rFonts w:eastAsia="Times New Roman" w:cs="Arial"/>
          <w:color w:val="333333"/>
          <w:lang w:eastAsia="en-AU"/>
        </w:rPr>
        <w:t>different</w:t>
      </w:r>
      <w:r w:rsidR="00206DFC" w:rsidRPr="00B2525C">
        <w:rPr>
          <w:rFonts w:eastAsia="Times New Roman" w:cs="Arial"/>
          <w:color w:val="333333"/>
          <w:lang w:eastAsia="en-AU"/>
        </w:rPr>
        <w:t xml:space="preserve"> factors</w:t>
      </w:r>
      <w:r w:rsidR="0029000B" w:rsidRPr="00B2525C">
        <w:rPr>
          <w:rFonts w:eastAsia="Times New Roman" w:cs="Arial"/>
          <w:color w:val="333333"/>
          <w:lang w:eastAsia="en-AU"/>
        </w:rPr>
        <w:t xml:space="preserve">. </w:t>
      </w:r>
      <w:r w:rsidR="005962EF" w:rsidRPr="00B2525C">
        <w:rPr>
          <w:rFonts w:eastAsia="Times New Roman" w:cs="Arial"/>
          <w:color w:val="333333"/>
          <w:lang w:eastAsia="en-AU"/>
        </w:rPr>
        <w:t>Economic, environmental</w:t>
      </w:r>
      <w:r w:rsidR="0006745A" w:rsidRPr="00B2525C">
        <w:rPr>
          <w:rFonts w:eastAsia="Times New Roman" w:cs="Arial"/>
          <w:color w:val="333333"/>
          <w:lang w:eastAsia="en-AU"/>
        </w:rPr>
        <w:t>,</w:t>
      </w:r>
      <w:r w:rsidR="005962EF" w:rsidRPr="00B2525C">
        <w:rPr>
          <w:rFonts w:eastAsia="Times New Roman" w:cs="Arial"/>
          <w:color w:val="333333"/>
          <w:lang w:eastAsia="en-AU"/>
        </w:rPr>
        <w:t xml:space="preserve"> and social inequalities</w:t>
      </w:r>
      <w:r w:rsidR="00206DFC" w:rsidRPr="00B2525C">
        <w:rPr>
          <w:rFonts w:eastAsia="Times New Roman" w:cs="Arial"/>
          <w:color w:val="333333"/>
          <w:lang w:eastAsia="en-AU"/>
        </w:rPr>
        <w:t xml:space="preserve"> </w:t>
      </w:r>
      <w:r w:rsidR="005962EF" w:rsidRPr="00B2525C">
        <w:rPr>
          <w:rFonts w:eastAsia="Times New Roman" w:cs="Arial"/>
          <w:color w:val="333333"/>
          <w:lang w:eastAsia="en-AU"/>
        </w:rPr>
        <w:t>can determine people's risk of getting ill, their ability to prevent sickness, or their access to effective treatments.</w:t>
      </w:r>
      <w:r w:rsidR="00594EFD" w:rsidRPr="00B2525C">
        <w:rPr>
          <w:rFonts w:eastAsia="Times New Roman" w:cs="Arial"/>
          <w:color w:val="333333"/>
          <w:lang w:eastAsia="en-AU"/>
        </w:rPr>
        <w:t xml:space="preserve"> A </w:t>
      </w:r>
      <w:r w:rsidR="005962EF" w:rsidRPr="00B2525C">
        <w:rPr>
          <w:rFonts w:eastAsia="Times New Roman" w:cs="Arial"/>
          <w:color w:val="333333"/>
          <w:lang w:eastAsia="en-AU"/>
        </w:rPr>
        <w:t>widely used</w:t>
      </w:r>
      <w:r w:rsidR="00594EFD" w:rsidRPr="00B2525C">
        <w:rPr>
          <w:rFonts w:eastAsia="Times New Roman" w:cs="Arial"/>
          <w:color w:val="333333"/>
          <w:lang w:eastAsia="en-AU"/>
        </w:rPr>
        <w:t xml:space="preserve"> model </w:t>
      </w:r>
      <w:r w:rsidR="00206DFC" w:rsidRPr="00B2525C">
        <w:rPr>
          <w:rFonts w:eastAsia="Times New Roman" w:cs="Arial"/>
          <w:color w:val="333333"/>
          <w:lang w:eastAsia="en-AU"/>
        </w:rPr>
        <w:t xml:space="preserve">that describes </w:t>
      </w:r>
      <w:r w:rsidRPr="00B2525C">
        <w:rPr>
          <w:rFonts w:eastAsia="Times New Roman" w:cs="Arial"/>
          <w:color w:val="333333"/>
          <w:lang w:eastAsia="en-AU"/>
        </w:rPr>
        <w:t>these determinants</w:t>
      </w:r>
      <w:r w:rsidR="00206DFC" w:rsidRPr="00B2525C">
        <w:rPr>
          <w:rFonts w:eastAsia="Times New Roman" w:cs="Arial"/>
          <w:color w:val="333333"/>
          <w:lang w:eastAsia="en-AU"/>
        </w:rPr>
        <w:t xml:space="preserve"> of health </w:t>
      </w:r>
      <w:r w:rsidR="005962EF" w:rsidRPr="00B2525C">
        <w:rPr>
          <w:rFonts w:eastAsia="Times New Roman" w:cs="Arial"/>
          <w:color w:val="333333"/>
          <w:lang w:eastAsia="en-AU"/>
        </w:rPr>
        <w:t>is the Dahlgren-Whitehead 'rainbow model'</w:t>
      </w:r>
      <w:r w:rsidRPr="00B2525C">
        <w:rPr>
          <w:rFonts w:eastAsia="Times New Roman" w:cs="Arial"/>
          <w:color w:val="333333"/>
          <w:lang w:eastAsia="en-AU"/>
        </w:rPr>
        <w:t xml:space="preserve"> (</w:t>
      </w:r>
      <w:r w:rsidR="00322B30" w:rsidRPr="00B2525C">
        <w:rPr>
          <w:rFonts w:eastAsia="Times New Roman" w:cs="Arial"/>
          <w:color w:val="333333"/>
          <w:lang w:eastAsia="en-AU"/>
        </w:rPr>
        <w:t>Dahlgren-Whitehead, 1991</w:t>
      </w:r>
      <w:r w:rsidRPr="00B2525C">
        <w:rPr>
          <w:rFonts w:eastAsia="Times New Roman" w:cs="Arial"/>
          <w:color w:val="333333"/>
          <w:lang w:eastAsia="en-AU"/>
        </w:rPr>
        <w:t>)</w:t>
      </w:r>
      <w:r w:rsidR="005962EF" w:rsidRPr="00B2525C">
        <w:rPr>
          <w:rFonts w:eastAsia="Times New Roman" w:cs="Arial"/>
          <w:color w:val="333333"/>
          <w:lang w:eastAsia="en-AU"/>
        </w:rPr>
        <w:t>. The model</w:t>
      </w:r>
      <w:r w:rsidRPr="00B2525C">
        <w:rPr>
          <w:rFonts w:eastAsia="Times New Roman" w:cs="Arial"/>
          <w:color w:val="333333"/>
          <w:lang w:eastAsia="en-AU"/>
        </w:rPr>
        <w:t xml:space="preserve"> </w:t>
      </w:r>
      <w:r w:rsidR="005962EF" w:rsidRPr="00B2525C">
        <w:rPr>
          <w:rFonts w:eastAsia="Times New Roman" w:cs="Arial"/>
          <w:color w:val="333333"/>
          <w:lang w:eastAsia="en-AU"/>
        </w:rPr>
        <w:t xml:space="preserve">maps the relationship between the individual, </w:t>
      </w:r>
      <w:r w:rsidR="00206DFC" w:rsidRPr="00B2525C">
        <w:rPr>
          <w:rFonts w:eastAsia="Times New Roman" w:cs="Arial"/>
          <w:color w:val="333333"/>
          <w:lang w:eastAsia="en-AU"/>
        </w:rPr>
        <w:t xml:space="preserve">social and community networks, living and working conditions, </w:t>
      </w:r>
      <w:r w:rsidRPr="00B2525C">
        <w:rPr>
          <w:rFonts w:eastAsia="Times New Roman" w:cs="Arial"/>
          <w:color w:val="333333"/>
          <w:lang w:eastAsia="en-AU"/>
        </w:rPr>
        <w:t>environmental</w:t>
      </w:r>
      <w:r w:rsidR="00206DFC" w:rsidRPr="00B2525C">
        <w:rPr>
          <w:rFonts w:eastAsia="Times New Roman" w:cs="Arial"/>
          <w:color w:val="333333"/>
          <w:lang w:eastAsia="en-AU"/>
        </w:rPr>
        <w:t xml:space="preserve"> condition</w:t>
      </w:r>
      <w:r w:rsidR="008E17B9" w:rsidRPr="00B2525C">
        <w:rPr>
          <w:rFonts w:eastAsia="Times New Roman" w:cs="Arial"/>
          <w:color w:val="333333"/>
          <w:lang w:eastAsia="en-AU"/>
        </w:rPr>
        <w:t xml:space="preserve">s </w:t>
      </w:r>
      <w:r w:rsidR="005962EF" w:rsidRPr="00B2525C">
        <w:rPr>
          <w:rFonts w:eastAsia="Times New Roman" w:cs="Arial"/>
          <w:color w:val="333333"/>
          <w:lang w:eastAsia="en-AU"/>
        </w:rPr>
        <w:t xml:space="preserve">and health. </w:t>
      </w:r>
      <w:r w:rsidR="00C630B0" w:rsidRPr="00B2525C">
        <w:rPr>
          <w:rFonts w:cs="Arial"/>
          <w:color w:val="222222"/>
          <w:shd w:val="clear" w:color="auto" w:fill="FFFFFF"/>
        </w:rPr>
        <w:t xml:space="preserve">Individuals are at the centre </w:t>
      </w:r>
      <w:r w:rsidR="00594EFD" w:rsidRPr="00B2525C">
        <w:rPr>
          <w:rFonts w:cs="Arial"/>
          <w:color w:val="222222"/>
          <w:shd w:val="clear" w:color="auto" w:fill="FFFFFF"/>
        </w:rPr>
        <w:t>with set characteristics like sex, age</w:t>
      </w:r>
      <w:r w:rsidR="00FC78B9" w:rsidRPr="00B2525C">
        <w:rPr>
          <w:rFonts w:cs="Arial"/>
          <w:color w:val="222222"/>
          <w:shd w:val="clear" w:color="auto" w:fill="FFFFFF"/>
        </w:rPr>
        <w:t xml:space="preserve">, household </w:t>
      </w:r>
      <w:r w:rsidRPr="00B2525C">
        <w:rPr>
          <w:rFonts w:cs="Arial"/>
          <w:color w:val="222222"/>
          <w:shd w:val="clear" w:color="auto" w:fill="FFFFFF"/>
        </w:rPr>
        <w:t>composition</w:t>
      </w:r>
      <w:r w:rsidR="00594EFD" w:rsidRPr="00B2525C">
        <w:rPr>
          <w:rFonts w:cs="Arial"/>
          <w:color w:val="222222"/>
          <w:shd w:val="clear" w:color="auto" w:fill="FFFFFF"/>
        </w:rPr>
        <w:t xml:space="preserve"> and diversity</w:t>
      </w:r>
      <w:r w:rsidR="00C630B0" w:rsidRPr="00B2525C">
        <w:rPr>
          <w:rFonts w:cs="Arial"/>
          <w:color w:val="222222"/>
          <w:shd w:val="clear" w:color="auto" w:fill="FFFFFF"/>
        </w:rPr>
        <w:t>. The next layer are</w:t>
      </w:r>
      <w:r w:rsidR="006F4BF4" w:rsidRPr="00B2525C">
        <w:rPr>
          <w:rFonts w:cs="Arial"/>
          <w:color w:val="222222"/>
          <w:shd w:val="clear" w:color="auto" w:fill="FFFFFF"/>
        </w:rPr>
        <w:t xml:space="preserve"> individual</w:t>
      </w:r>
      <w:r w:rsidR="0029000B" w:rsidRPr="00B2525C">
        <w:rPr>
          <w:rFonts w:cs="Arial"/>
          <w:color w:val="222222"/>
          <w:shd w:val="clear" w:color="auto" w:fill="FFFFFF"/>
        </w:rPr>
        <w:t xml:space="preserve"> </w:t>
      </w:r>
      <w:r w:rsidRPr="00B2525C">
        <w:rPr>
          <w:rFonts w:cs="Arial"/>
          <w:color w:val="222222"/>
          <w:shd w:val="clear" w:color="auto" w:fill="FFFFFF"/>
        </w:rPr>
        <w:t>factors</w:t>
      </w:r>
      <w:r w:rsidR="006F4BF4" w:rsidRPr="00B2525C">
        <w:rPr>
          <w:rFonts w:cs="Arial"/>
          <w:color w:val="222222"/>
          <w:shd w:val="clear" w:color="auto" w:fill="FFFFFF"/>
        </w:rPr>
        <w:t xml:space="preserve"> </w:t>
      </w:r>
      <w:r w:rsidR="00C630B0" w:rsidRPr="00B2525C">
        <w:rPr>
          <w:rFonts w:cs="Arial"/>
          <w:color w:val="222222"/>
          <w:shd w:val="clear" w:color="auto" w:fill="FFFFFF"/>
        </w:rPr>
        <w:t>that can promote or damage health –</w:t>
      </w:r>
      <w:r w:rsidR="0006745A" w:rsidRPr="00B2525C">
        <w:rPr>
          <w:rFonts w:cs="Arial"/>
          <w:color w:val="222222"/>
          <w:shd w:val="clear" w:color="auto" w:fill="FFFFFF"/>
        </w:rPr>
        <w:t xml:space="preserve"> e.</w:t>
      </w:r>
      <w:r w:rsidR="00C630B0" w:rsidRPr="00B2525C">
        <w:rPr>
          <w:rFonts w:cs="Arial"/>
          <w:color w:val="222222"/>
          <w:shd w:val="clear" w:color="auto" w:fill="FFFFFF"/>
        </w:rPr>
        <w:t>g</w:t>
      </w:r>
      <w:r w:rsidR="0006745A" w:rsidRPr="00B2525C">
        <w:rPr>
          <w:rFonts w:cs="Arial"/>
          <w:color w:val="222222"/>
          <w:shd w:val="clear" w:color="auto" w:fill="FFFFFF"/>
        </w:rPr>
        <w:t>.</w:t>
      </w:r>
      <w:r w:rsidR="0029000B" w:rsidRPr="00B2525C">
        <w:rPr>
          <w:rFonts w:cs="Arial"/>
          <w:color w:val="222222"/>
          <w:shd w:val="clear" w:color="auto" w:fill="FFFFFF"/>
        </w:rPr>
        <w:t xml:space="preserve"> </w:t>
      </w:r>
      <w:r w:rsidR="00C630B0" w:rsidRPr="00B2525C">
        <w:rPr>
          <w:rFonts w:cs="Arial"/>
          <w:color w:val="222222"/>
          <w:shd w:val="clear" w:color="auto" w:fill="FFFFFF"/>
        </w:rPr>
        <w:t>smok</w:t>
      </w:r>
      <w:r w:rsidR="00D87B07" w:rsidRPr="00B2525C">
        <w:rPr>
          <w:rFonts w:cs="Arial"/>
          <w:color w:val="222222"/>
          <w:shd w:val="clear" w:color="auto" w:fill="FFFFFF"/>
        </w:rPr>
        <w:t>ing</w:t>
      </w:r>
      <w:r w:rsidR="00C630B0" w:rsidRPr="00B2525C">
        <w:rPr>
          <w:rFonts w:cs="Arial"/>
          <w:color w:val="222222"/>
          <w:shd w:val="clear" w:color="auto" w:fill="FFFFFF"/>
        </w:rPr>
        <w:t>. The third layer explores</w:t>
      </w:r>
      <w:r w:rsidR="00510D16" w:rsidRPr="00B2525C">
        <w:rPr>
          <w:rFonts w:cs="Arial"/>
          <w:color w:val="222222"/>
          <w:shd w:val="clear" w:color="auto" w:fill="FFFFFF"/>
        </w:rPr>
        <w:t xml:space="preserve"> social and community networks</w:t>
      </w:r>
      <w:r w:rsidR="00C630B0" w:rsidRPr="00B2525C">
        <w:rPr>
          <w:rFonts w:cs="Arial"/>
          <w:color w:val="222222"/>
          <w:shd w:val="clear" w:color="auto" w:fill="FFFFFF"/>
        </w:rPr>
        <w:t xml:space="preserve">. Structural factors like </w:t>
      </w:r>
      <w:r w:rsidR="00510D16" w:rsidRPr="00B2525C">
        <w:rPr>
          <w:rFonts w:cs="Arial"/>
          <w:color w:val="222222"/>
          <w:shd w:val="clear" w:color="auto" w:fill="FFFFFF"/>
        </w:rPr>
        <w:t xml:space="preserve">living and working conditions include </w:t>
      </w:r>
      <w:r w:rsidR="0006745A" w:rsidRPr="00B2525C">
        <w:rPr>
          <w:rFonts w:cs="Arial"/>
          <w:color w:val="222222"/>
          <w:shd w:val="clear" w:color="auto" w:fill="FFFFFF"/>
        </w:rPr>
        <w:t xml:space="preserve">individual </w:t>
      </w:r>
      <w:r w:rsidR="008E17B9" w:rsidRPr="00B2525C">
        <w:rPr>
          <w:rFonts w:cs="Arial"/>
          <w:color w:val="222222"/>
          <w:shd w:val="clear" w:color="auto" w:fill="FFFFFF"/>
        </w:rPr>
        <w:t xml:space="preserve">socio-economic position, </w:t>
      </w:r>
      <w:r w:rsidR="00C630B0" w:rsidRPr="00B2525C">
        <w:rPr>
          <w:rFonts w:cs="Arial"/>
          <w:color w:val="222222"/>
          <w:shd w:val="clear" w:color="auto" w:fill="FFFFFF"/>
        </w:rPr>
        <w:t>housing</w:t>
      </w:r>
      <w:r w:rsidR="006F4BF4" w:rsidRPr="00B2525C">
        <w:rPr>
          <w:rFonts w:cs="Arial"/>
          <w:color w:val="222222"/>
          <w:shd w:val="clear" w:color="auto" w:fill="FFFFFF"/>
        </w:rPr>
        <w:t xml:space="preserve"> affordability</w:t>
      </w:r>
      <w:r w:rsidR="008E17B9" w:rsidRPr="00B2525C">
        <w:rPr>
          <w:rFonts w:cs="Arial"/>
          <w:color w:val="222222"/>
          <w:shd w:val="clear" w:color="auto" w:fill="FFFFFF"/>
        </w:rPr>
        <w:t xml:space="preserve"> and </w:t>
      </w:r>
      <w:r w:rsidR="00C630B0" w:rsidRPr="00B2525C">
        <w:rPr>
          <w:rFonts w:cs="Arial"/>
          <w:color w:val="222222"/>
          <w:shd w:val="clear" w:color="auto" w:fill="FFFFFF"/>
        </w:rPr>
        <w:t>working conditions</w:t>
      </w:r>
      <w:r w:rsidR="008E17B9" w:rsidRPr="00B2525C">
        <w:rPr>
          <w:rFonts w:cs="Arial"/>
          <w:color w:val="222222"/>
          <w:shd w:val="clear" w:color="auto" w:fill="FFFFFF"/>
        </w:rPr>
        <w:t xml:space="preserve">. </w:t>
      </w:r>
      <w:r w:rsidR="00C630B0" w:rsidRPr="00B2525C">
        <w:rPr>
          <w:rFonts w:cs="Arial"/>
          <w:color w:val="222222"/>
          <w:shd w:val="clear" w:color="auto" w:fill="FFFFFF"/>
        </w:rPr>
        <w:t xml:space="preserve">Finally, the fourth level looks at the broad societal factors that </w:t>
      </w:r>
      <w:r w:rsidR="00CE7658">
        <w:rPr>
          <w:rFonts w:cs="Arial"/>
          <w:color w:val="222222"/>
          <w:shd w:val="clear" w:color="auto" w:fill="FFFFFF"/>
        </w:rPr>
        <w:t xml:space="preserve">protect </w:t>
      </w:r>
      <w:r w:rsidR="00C630B0" w:rsidRPr="00B2525C">
        <w:rPr>
          <w:rFonts w:cs="Arial"/>
          <w:color w:val="222222"/>
          <w:shd w:val="clear" w:color="auto" w:fill="FFFFFF"/>
        </w:rPr>
        <w:t xml:space="preserve">or impair health. Examples here include </w:t>
      </w:r>
      <w:r w:rsidR="00510D16" w:rsidRPr="00B2525C">
        <w:rPr>
          <w:rFonts w:cs="Arial"/>
          <w:color w:val="222222"/>
          <w:shd w:val="clear" w:color="auto" w:fill="FFFFFF"/>
        </w:rPr>
        <w:t>s</w:t>
      </w:r>
      <w:r w:rsidR="00C630B0" w:rsidRPr="00B2525C">
        <w:rPr>
          <w:rFonts w:cs="Arial"/>
          <w:color w:val="222222"/>
          <w:shd w:val="clear" w:color="auto" w:fill="FFFFFF"/>
        </w:rPr>
        <w:t xml:space="preserve">ocial </w:t>
      </w:r>
      <w:r w:rsidR="00510D16" w:rsidRPr="00B2525C">
        <w:rPr>
          <w:rFonts w:cs="Arial"/>
          <w:color w:val="222222"/>
          <w:shd w:val="clear" w:color="auto" w:fill="FFFFFF"/>
        </w:rPr>
        <w:t xml:space="preserve">and environmental conditions and </w:t>
      </w:r>
      <w:r w:rsidR="00C630B0" w:rsidRPr="00B2525C">
        <w:rPr>
          <w:rFonts w:cs="Arial"/>
          <w:color w:val="222222"/>
          <w:shd w:val="clear" w:color="auto" w:fill="FFFFFF"/>
        </w:rPr>
        <w:t>policies that help to create, maintain, or lessen socio</w:t>
      </w:r>
      <w:r w:rsidR="0006745A" w:rsidRPr="00B2525C">
        <w:rPr>
          <w:rFonts w:cs="Arial"/>
          <w:color w:val="222222"/>
          <w:shd w:val="clear" w:color="auto" w:fill="FFFFFF"/>
        </w:rPr>
        <w:t>-</w:t>
      </w:r>
      <w:r w:rsidR="00C630B0" w:rsidRPr="00B2525C">
        <w:rPr>
          <w:rFonts w:cs="Arial"/>
          <w:color w:val="222222"/>
          <w:shd w:val="clear" w:color="auto" w:fill="FFFFFF"/>
        </w:rPr>
        <w:t>economic inequalities</w:t>
      </w:r>
      <w:r w:rsidR="0006745A" w:rsidRPr="00B2525C">
        <w:rPr>
          <w:rFonts w:cs="Arial"/>
          <w:color w:val="222222"/>
          <w:shd w:val="clear" w:color="auto" w:fill="FFFFFF"/>
        </w:rPr>
        <w:t>, thus health and wellbeing</w:t>
      </w:r>
      <w:r w:rsidR="00C630B0" w:rsidRPr="00B2525C">
        <w:rPr>
          <w:rFonts w:cs="Arial"/>
          <w:color w:val="222222"/>
          <w:shd w:val="clear" w:color="auto" w:fill="FFFFFF"/>
        </w:rPr>
        <w:t xml:space="preserve"> between groups</w:t>
      </w:r>
      <w:r w:rsidRPr="00B2525C">
        <w:rPr>
          <w:rFonts w:cs="Arial"/>
          <w:color w:val="222222"/>
          <w:shd w:val="clear" w:color="auto" w:fill="FFFFFF"/>
        </w:rPr>
        <w:t>.</w:t>
      </w:r>
      <w:r w:rsidR="00510D16" w:rsidRPr="00B2525C">
        <w:rPr>
          <w:rFonts w:cs="Arial"/>
          <w:color w:val="222222"/>
          <w:shd w:val="clear" w:color="auto" w:fill="FFFFFF"/>
        </w:rPr>
        <w:t xml:space="preserve"> </w:t>
      </w:r>
    </w:p>
    <w:bookmarkEnd w:id="14"/>
    <w:p w14:paraId="32A65BA8" w14:textId="59C05D1C" w:rsidR="00FD0B36" w:rsidRDefault="00FD0B36" w:rsidP="00FD0B36">
      <w:pPr>
        <w:pStyle w:val="Heading2"/>
        <w:ind w:left="100"/>
        <w:rPr>
          <w:rFonts w:cs="Arial"/>
          <w:b w:val="0"/>
          <w:color w:val="7030A0"/>
        </w:rPr>
      </w:pPr>
      <w:r w:rsidRPr="00B2525C">
        <w:rPr>
          <w:rFonts w:cs="Arial"/>
          <w:b w:val="0"/>
          <w:color w:val="7030A0"/>
        </w:rPr>
        <w:lastRenderedPageBreak/>
        <w:t>COVID-19 Pandemic</w:t>
      </w:r>
    </w:p>
    <w:p w14:paraId="331701A4" w14:textId="77777777" w:rsidR="002607B0" w:rsidRPr="002607B0" w:rsidRDefault="002607B0" w:rsidP="002607B0"/>
    <w:p w14:paraId="14A6C09B" w14:textId="62EB842A" w:rsidR="00FD0B36" w:rsidRPr="00B2525C" w:rsidRDefault="00FD0B36" w:rsidP="00BE2883">
      <w:pPr>
        <w:pStyle w:val="BodyText"/>
      </w:pPr>
      <w:bookmarkStart w:id="15" w:name="_Hlk80365248"/>
      <w:r w:rsidRPr="00B2525C">
        <w:t xml:space="preserve">Subsequent to the release of the Victorian </w:t>
      </w:r>
      <w:r w:rsidR="0006745A" w:rsidRPr="00B2525C">
        <w:t>P</w:t>
      </w:r>
      <w:r w:rsidRPr="00B2525C">
        <w:t xml:space="preserve">ublic </w:t>
      </w:r>
      <w:r w:rsidR="0006745A" w:rsidRPr="00B2525C">
        <w:t>H</w:t>
      </w:r>
      <w:r w:rsidRPr="00B2525C">
        <w:t xml:space="preserve">ealth and </w:t>
      </w:r>
      <w:r w:rsidR="0006745A" w:rsidRPr="00B2525C">
        <w:t>W</w:t>
      </w:r>
      <w:r w:rsidRPr="00B2525C">
        <w:t xml:space="preserve">ellbeing </w:t>
      </w:r>
      <w:r w:rsidR="0006745A" w:rsidRPr="00CE7658">
        <w:t>P</w:t>
      </w:r>
      <w:r w:rsidRPr="00CE7658">
        <w:t>lan</w:t>
      </w:r>
      <w:r w:rsidR="005F2779" w:rsidRPr="00CE7658">
        <w:t xml:space="preserve"> 2019-2023</w:t>
      </w:r>
      <w:r w:rsidRPr="00CE7658">
        <w:t>,</w:t>
      </w:r>
      <w:r w:rsidRPr="00B2525C">
        <w:t xml:space="preserve"> a major worldwide public health event</w:t>
      </w:r>
      <w:r w:rsidR="0006745A" w:rsidRPr="00B2525C">
        <w:t>, referred to as the COVID-19 pandemic,</w:t>
      </w:r>
      <w:r w:rsidRPr="00B2525C">
        <w:t xml:space="preserve"> has had impact</w:t>
      </w:r>
      <w:r w:rsidR="0006745A" w:rsidRPr="00B2525C">
        <w:t>s</w:t>
      </w:r>
      <w:r w:rsidRPr="00B2525C">
        <w:t xml:space="preserve"> on </w:t>
      </w:r>
      <w:r w:rsidR="0006745A" w:rsidRPr="00B2525C">
        <w:t>health and wellbeing</w:t>
      </w:r>
      <w:r w:rsidRPr="00B2525C">
        <w:t xml:space="preserve">. </w:t>
      </w:r>
      <w:r w:rsidR="00C005FF" w:rsidRPr="00B2525C">
        <w:t xml:space="preserve">These health and wellbeing impacts are </w:t>
      </w:r>
      <w:proofErr w:type="spellStart"/>
      <w:r w:rsidR="00C005FF" w:rsidRPr="00B2525C">
        <w:t>summari</w:t>
      </w:r>
      <w:r w:rsidR="005F2779">
        <w:t>s</w:t>
      </w:r>
      <w:r w:rsidR="00C005FF" w:rsidRPr="00B2525C">
        <w:t>ed</w:t>
      </w:r>
      <w:proofErr w:type="spellEnd"/>
      <w:r w:rsidR="00C005FF" w:rsidRPr="00B2525C">
        <w:t xml:space="preserve"> at the end of each </w:t>
      </w:r>
      <w:r w:rsidR="005F2779">
        <w:t>chapter</w:t>
      </w:r>
      <w:r w:rsidR="00C005FF" w:rsidRPr="00B2525C">
        <w:t>.</w:t>
      </w:r>
    </w:p>
    <w:bookmarkEnd w:id="15"/>
    <w:p w14:paraId="5C37AD7C" w14:textId="77777777" w:rsidR="00B91F3A" w:rsidRPr="00B2525C" w:rsidRDefault="00B91F3A" w:rsidP="00BE2883">
      <w:pPr>
        <w:pStyle w:val="BodyText"/>
      </w:pPr>
    </w:p>
    <w:p w14:paraId="5F074A35" w14:textId="15F6059E" w:rsidR="00B91F3A" w:rsidRPr="00B2525C" w:rsidRDefault="00B91F3A" w:rsidP="00B91F3A">
      <w:pPr>
        <w:pStyle w:val="Heading3"/>
        <w:rPr>
          <w:rFonts w:cs="Arial"/>
        </w:rPr>
      </w:pPr>
      <w:r w:rsidRPr="00B2525C">
        <w:rPr>
          <w:rFonts w:cs="Arial"/>
        </w:rPr>
        <w:t xml:space="preserve">COVID-19 </w:t>
      </w:r>
      <w:r w:rsidR="00CD2D66">
        <w:rPr>
          <w:rFonts w:cs="Arial"/>
        </w:rPr>
        <w:t>in Moonee Valley</w:t>
      </w:r>
    </w:p>
    <w:p w14:paraId="35B6BD21" w14:textId="60D3B4C8" w:rsidR="00B2525C" w:rsidRDefault="00B91F3A" w:rsidP="00BE2883">
      <w:pPr>
        <w:pStyle w:val="BodyText"/>
      </w:pPr>
      <w:r w:rsidRPr="00B2525C">
        <w:t xml:space="preserve">Since being reported in January 2020 to </w:t>
      </w:r>
      <w:r w:rsidR="0006745A" w:rsidRPr="00B2525C">
        <w:t xml:space="preserve">May </w:t>
      </w:r>
      <w:r w:rsidRPr="00B2525C">
        <w:t xml:space="preserve">2021, the </w:t>
      </w:r>
      <w:r w:rsidR="00E37EA5" w:rsidRPr="00B2525C">
        <w:t xml:space="preserve">Moonee Valley </w:t>
      </w:r>
      <w:r w:rsidRPr="00B2525C">
        <w:t>community compared to other local government areas had the 9</w:t>
      </w:r>
      <w:r w:rsidRPr="00B2525C">
        <w:rPr>
          <w:vertAlign w:val="superscript"/>
        </w:rPr>
        <w:t>th</w:t>
      </w:r>
      <w:r w:rsidRPr="00B2525C">
        <w:t xml:space="preserve"> highest number</w:t>
      </w:r>
      <w:r w:rsidR="0029000B" w:rsidRPr="00B2525C">
        <w:t xml:space="preserve"> </w:t>
      </w:r>
      <w:r w:rsidRPr="00B2525C">
        <w:t>of</w:t>
      </w:r>
      <w:r w:rsidR="0006745A" w:rsidRPr="00B2525C">
        <w:t xml:space="preserve"> COVID-19</w:t>
      </w:r>
      <w:r w:rsidRPr="00B2525C">
        <w:t xml:space="preserve"> cases </w:t>
      </w:r>
      <w:r w:rsidR="0006745A" w:rsidRPr="00B2525C">
        <w:t>(</w:t>
      </w:r>
      <w:r w:rsidRPr="00B2525C">
        <w:t>8</w:t>
      </w:r>
      <w:r w:rsidR="0006745A" w:rsidRPr="00B2525C">
        <w:t>20</w:t>
      </w:r>
      <w:r w:rsidRPr="00B2525C">
        <w:t xml:space="preserve"> cases</w:t>
      </w:r>
      <w:r w:rsidR="0006745A" w:rsidRPr="00B2525C">
        <w:t>)</w:t>
      </w:r>
      <w:r w:rsidRPr="00B2525C">
        <w:t>. Some areas of Moonee Valley such as Flemington</w:t>
      </w:r>
      <w:r w:rsidR="0006745A" w:rsidRPr="00B2525C">
        <w:t xml:space="preserve">, Travancore, </w:t>
      </w:r>
      <w:proofErr w:type="spellStart"/>
      <w:r w:rsidR="0006745A" w:rsidRPr="00B2525C">
        <w:t>Niddrie</w:t>
      </w:r>
      <w:proofErr w:type="spellEnd"/>
      <w:r w:rsidR="0006745A" w:rsidRPr="00B2525C">
        <w:t>,</w:t>
      </w:r>
      <w:r w:rsidRPr="00B2525C">
        <w:t xml:space="preserve"> </w:t>
      </w:r>
      <w:r w:rsidR="0006745A" w:rsidRPr="00B2525C">
        <w:t>Airport West</w:t>
      </w:r>
      <w:r w:rsidR="00D412DE">
        <w:t xml:space="preserve"> </w:t>
      </w:r>
      <w:r w:rsidRPr="00B2525C">
        <w:t xml:space="preserve">and Ascot Vale, have experienced longer durations in lockdown compared to the rest of Metropolitan Melbourne. </w:t>
      </w:r>
    </w:p>
    <w:p w14:paraId="3E8267B7" w14:textId="77777777" w:rsidR="005F2779" w:rsidRDefault="005F2779" w:rsidP="00BE2883">
      <w:pPr>
        <w:pStyle w:val="BodyText"/>
      </w:pPr>
    </w:p>
    <w:p w14:paraId="2BD1B152" w14:textId="1F428FD7" w:rsidR="005F2779" w:rsidRPr="005F2779" w:rsidRDefault="005F2779" w:rsidP="005F2779">
      <w:pPr>
        <w:pStyle w:val="BodyText"/>
        <w:rPr>
          <w:lang w:val="en-AU"/>
        </w:rPr>
      </w:pPr>
      <w:r w:rsidRPr="007D0646">
        <w:rPr>
          <w:b/>
        </w:rPr>
        <w:t>Figure</w:t>
      </w:r>
      <w:r w:rsidR="00EA337C" w:rsidRPr="007D0646">
        <w:rPr>
          <w:b/>
        </w:rPr>
        <w:t xml:space="preserve"> 3</w:t>
      </w:r>
      <w:r w:rsidR="00EA337C">
        <w:t>.</w:t>
      </w:r>
      <w:r w:rsidRPr="005F2779">
        <w:rPr>
          <w:rFonts w:eastAsiaTheme="minorEastAsia" w:cs="Circular Std Book"/>
          <w:color w:val="595959"/>
          <w:kern w:val="24"/>
          <w:sz w:val="24"/>
          <w:szCs w:val="24"/>
          <w:lang w:eastAsia="en-AU"/>
          <w14:textFill>
            <w14:solidFill>
              <w14:srgbClr w14:val="595959">
                <w14:lumMod w14:val="65000"/>
                <w14:lumOff w14:val="35000"/>
              </w14:srgbClr>
            </w14:solidFill>
          </w14:textFill>
        </w:rPr>
        <w:t xml:space="preserve"> </w:t>
      </w:r>
      <w:r w:rsidRPr="005F2779">
        <w:rPr>
          <w:rFonts w:eastAsiaTheme="minorEastAsia" w:cs="Circular Std Book"/>
          <w:kern w:val="24"/>
          <w:lang w:eastAsia="en-AU"/>
        </w:rPr>
        <w:t xml:space="preserve">Highest </w:t>
      </w:r>
      <w:r w:rsidRPr="005F2779">
        <w:rPr>
          <w:lang w:val="en-AU"/>
        </w:rPr>
        <w:t>COVID-19 cases by LGA - as at 10 May 2021</w:t>
      </w:r>
    </w:p>
    <w:p w14:paraId="268C6876" w14:textId="77777777" w:rsidR="005F2779" w:rsidRPr="00B2525C" w:rsidRDefault="005F2779" w:rsidP="00BE2883">
      <w:pPr>
        <w:pStyle w:val="BodyText"/>
      </w:pPr>
    </w:p>
    <w:p w14:paraId="73905041" w14:textId="77777777" w:rsidR="00B91F3A" w:rsidRPr="00B2525C" w:rsidRDefault="00B91F3A" w:rsidP="00B91F3A">
      <w:pPr>
        <w:pStyle w:val="NoSpacing"/>
        <w:rPr>
          <w:rFonts w:ascii="Arial" w:hAnsi="Arial" w:cs="Arial"/>
        </w:rPr>
      </w:pPr>
      <w:r w:rsidRPr="00B2525C">
        <w:rPr>
          <w:rFonts w:ascii="Arial" w:hAnsi="Arial" w:cs="Arial"/>
          <w:noProof/>
        </w:rPr>
        <w:drawing>
          <wp:inline distT="0" distB="0" distL="0" distR="0" wp14:anchorId="7FB9B4EE" wp14:editId="125F15A2">
            <wp:extent cx="6326372" cy="3615069"/>
            <wp:effectExtent l="0" t="0" r="0" b="4445"/>
            <wp:docPr id="67" name="Chart 67">
              <a:extLst xmlns:a="http://schemas.openxmlformats.org/drawingml/2006/main">
                <a:ext uri="{FF2B5EF4-FFF2-40B4-BE49-F238E27FC236}">
                  <a16:creationId xmlns:a16="http://schemas.microsoft.com/office/drawing/2014/main" id="{4D04DDA4-741F-4D60-B87A-29AF82FF9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63C235" w14:textId="77777777" w:rsidR="00B91F3A" w:rsidRPr="00B2525C" w:rsidRDefault="00B91F3A" w:rsidP="00B91F3A">
      <w:pPr>
        <w:pStyle w:val="Caption"/>
        <w:rPr>
          <w:rFonts w:cs="Arial"/>
        </w:rPr>
      </w:pPr>
      <w:r w:rsidRPr="00B2525C">
        <w:rPr>
          <w:rFonts w:cs="Arial"/>
        </w:rPr>
        <w:t xml:space="preserve">Source: DHS, Victorian Coronavirus Data, 2021 </w:t>
      </w:r>
    </w:p>
    <w:p w14:paraId="481E10A5" w14:textId="77777777" w:rsidR="00B91F3A" w:rsidRPr="00B2525C" w:rsidRDefault="00B91F3A" w:rsidP="00BE2883">
      <w:pPr>
        <w:pStyle w:val="BodyText"/>
      </w:pPr>
    </w:p>
    <w:p w14:paraId="447155EC" w14:textId="75F876F6" w:rsidR="00FD0B36" w:rsidRPr="00B2525C" w:rsidRDefault="00A878D8" w:rsidP="00BE2883">
      <w:pPr>
        <w:pStyle w:val="BodyText"/>
      </w:pPr>
      <w:r>
        <w:t>As well as individual anxiety around COVID-19, r</w:t>
      </w:r>
      <w:r w:rsidR="00FD0B36" w:rsidRPr="00B2525C">
        <w:t>estrictions on human contact and movement are public health controls</w:t>
      </w:r>
      <w:r>
        <w:t xml:space="preserve"> have affected health and wellbeing. Restriction</w:t>
      </w:r>
      <w:r w:rsidR="00FD0B36" w:rsidRPr="00B2525C">
        <w:t xml:space="preserve"> that have been implemented </w:t>
      </w:r>
      <w:r w:rsidR="00C005FF" w:rsidRPr="00B2525C">
        <w:t>as measures to reduce the spread of COVID-19</w:t>
      </w:r>
      <w:r w:rsidR="00FD0B36" w:rsidRPr="00B2525C">
        <w:t>. Th</w:t>
      </w:r>
      <w:r w:rsidR="0052694B" w:rsidRPr="00B2525C">
        <w:t>e</w:t>
      </w:r>
      <w:r w:rsidR="00645C51" w:rsidRPr="00B2525C">
        <w:t xml:space="preserve"> </w:t>
      </w:r>
      <w:r w:rsidR="00FD0B36" w:rsidRPr="00B2525C">
        <w:t xml:space="preserve">introduction of these restrictions is impacting on the economy (constraints on people’s ability to work and do business), education (students’ ability to attend schools/tertiary institutes), health (constraints on access to health services, manifestations of psychological distress, mental health issues, decreased physical activity etc.) and social (impacts of people being isolated). </w:t>
      </w:r>
      <w:r w:rsidR="00645C51" w:rsidRPr="00B2525C">
        <w:t>It is likely that h</w:t>
      </w:r>
      <w:r w:rsidR="00FD0B36" w:rsidRPr="00B2525C">
        <w:t xml:space="preserve">ealth inequalities </w:t>
      </w:r>
      <w:r w:rsidR="00827B35" w:rsidRPr="00B2525C">
        <w:t xml:space="preserve">among impacted residents </w:t>
      </w:r>
      <w:r w:rsidR="00FD0B36" w:rsidRPr="00B2525C">
        <w:t>will increase.</w:t>
      </w:r>
      <w:r>
        <w:t xml:space="preserve"> </w:t>
      </w:r>
    </w:p>
    <w:p w14:paraId="764E7F6D" w14:textId="71ACA001" w:rsidR="00645C51" w:rsidRPr="00B2525C" w:rsidRDefault="00645C51" w:rsidP="00A85DA8">
      <w:pPr>
        <w:pStyle w:val="Heading2"/>
        <w:rPr>
          <w:rFonts w:cs="Arial"/>
        </w:rPr>
      </w:pPr>
      <w:r w:rsidRPr="00B2525C">
        <w:rPr>
          <w:rFonts w:cs="Arial"/>
        </w:rPr>
        <w:lastRenderedPageBreak/>
        <w:t>Scope</w:t>
      </w:r>
      <w:r w:rsidR="00941B15" w:rsidRPr="00B2525C">
        <w:rPr>
          <w:rFonts w:cs="Arial"/>
        </w:rPr>
        <w:t xml:space="preserve"> and data source</w:t>
      </w:r>
    </w:p>
    <w:p w14:paraId="3C7B756E" w14:textId="77777777" w:rsidR="002607B0" w:rsidRDefault="002607B0" w:rsidP="00BE2883">
      <w:pPr>
        <w:pStyle w:val="BodyText"/>
      </w:pPr>
    </w:p>
    <w:p w14:paraId="6754C81D" w14:textId="77777777" w:rsidR="00B94E8B" w:rsidRDefault="002145A7" w:rsidP="00BE2883">
      <w:pPr>
        <w:pStyle w:val="BodyText"/>
      </w:pPr>
      <w:r w:rsidRPr="00B2525C">
        <w:t xml:space="preserve">The aim of this document is to provide data about </w:t>
      </w:r>
      <w:r w:rsidR="008C488D" w:rsidRPr="00B2525C">
        <w:t xml:space="preserve">social </w:t>
      </w:r>
      <w:r w:rsidRPr="00B2525C">
        <w:t>determinants</w:t>
      </w:r>
      <w:r w:rsidR="0006745A" w:rsidRPr="00B2525C">
        <w:t xml:space="preserve"> </w:t>
      </w:r>
      <w:r w:rsidRPr="00B2525C">
        <w:t xml:space="preserve">and </w:t>
      </w:r>
      <w:r w:rsidR="00D03F5C" w:rsidRPr="00B2525C">
        <w:t xml:space="preserve">the </w:t>
      </w:r>
      <w:r w:rsidRPr="00B2525C">
        <w:t xml:space="preserve">health status </w:t>
      </w:r>
      <w:r w:rsidR="00D03F5C" w:rsidRPr="00B2525C">
        <w:t>of residents in</w:t>
      </w:r>
      <w:r w:rsidRPr="00B2525C">
        <w:t xml:space="preserve"> Moonee</w:t>
      </w:r>
      <w:r w:rsidR="00827B35" w:rsidRPr="00B2525C">
        <w:t xml:space="preserve"> </w:t>
      </w:r>
      <w:r w:rsidRPr="00B2525C">
        <w:t>Vallee C</w:t>
      </w:r>
      <w:r w:rsidR="00D03F5C" w:rsidRPr="00B2525C">
        <w:t>i</w:t>
      </w:r>
      <w:r w:rsidRPr="00B2525C">
        <w:t>ty Council</w:t>
      </w:r>
      <w:r w:rsidR="0029000B" w:rsidRPr="00B2525C">
        <w:t xml:space="preserve">. </w:t>
      </w:r>
      <w:r w:rsidR="00FA7ED7" w:rsidRPr="00B2525C">
        <w:t>In interpreting the findi</w:t>
      </w:r>
      <w:r w:rsidR="00803F28" w:rsidRPr="00B2525C">
        <w:t>n</w:t>
      </w:r>
      <w:r w:rsidR="00FA7ED7" w:rsidRPr="00B2525C">
        <w:t>gs</w:t>
      </w:r>
      <w:r w:rsidR="00C005FF" w:rsidRPr="00B2525C">
        <w:t>,</w:t>
      </w:r>
      <w:r w:rsidR="00FA7ED7" w:rsidRPr="00B2525C">
        <w:t xml:space="preserve"> caution is warranted due to some of the limitations of the data source, including </w:t>
      </w:r>
      <w:r w:rsidR="00F740EF" w:rsidRPr="00B2525C">
        <w:t>underrepresentation</w:t>
      </w:r>
      <w:r w:rsidR="00FA7ED7" w:rsidRPr="00B2525C">
        <w:t xml:space="preserve"> of </w:t>
      </w:r>
      <w:r w:rsidR="00D03F5C" w:rsidRPr="00B2525C">
        <w:t>socio</w:t>
      </w:r>
      <w:r w:rsidR="004021F4" w:rsidRPr="00B2525C">
        <w:t>-</w:t>
      </w:r>
      <w:r w:rsidR="00D03F5C" w:rsidRPr="00B2525C">
        <w:t>economically</w:t>
      </w:r>
      <w:r w:rsidR="00EF41D7" w:rsidRPr="00B2525C">
        <w:t xml:space="preserve"> </w:t>
      </w:r>
      <w:r w:rsidR="00D03F5C" w:rsidRPr="00B2525C">
        <w:t>disadvantaged</w:t>
      </w:r>
      <w:r w:rsidR="00EF41D7" w:rsidRPr="00B2525C">
        <w:t xml:space="preserve"> and </w:t>
      </w:r>
      <w:proofErr w:type="spellStart"/>
      <w:r w:rsidR="00EF41D7" w:rsidRPr="00B2525C">
        <w:t>marg</w:t>
      </w:r>
      <w:r w:rsidR="006C251E" w:rsidRPr="00B2525C">
        <w:t>i</w:t>
      </w:r>
      <w:r w:rsidR="00EF41D7" w:rsidRPr="00B2525C">
        <w:t>nalised</w:t>
      </w:r>
      <w:proofErr w:type="spellEnd"/>
      <w:r w:rsidR="00FA7ED7" w:rsidRPr="00B2525C">
        <w:t xml:space="preserve"> groups in the community (i.e. CALD, </w:t>
      </w:r>
      <w:r w:rsidR="00EF41D7" w:rsidRPr="00B2525C">
        <w:t>public housing tenants, people in very old age</w:t>
      </w:r>
      <w:r w:rsidR="004021F4" w:rsidRPr="00B2525C">
        <w:t>,</w:t>
      </w:r>
      <w:r w:rsidR="00827B35" w:rsidRPr="00B2525C">
        <w:t xml:space="preserve"> and Aboriginal and Torres Strait Islander</w:t>
      </w:r>
      <w:r w:rsidR="00E37EA5" w:rsidRPr="00B2525C">
        <w:t xml:space="preserve"> Peoples</w:t>
      </w:r>
      <w:r w:rsidR="00FA7ED7" w:rsidRPr="00B2525C">
        <w:t xml:space="preserve">) and reliance on historical data (i.e. </w:t>
      </w:r>
      <w:r w:rsidR="00F740EF" w:rsidRPr="00B2525C">
        <w:t>census</w:t>
      </w:r>
      <w:r w:rsidR="00FA7ED7" w:rsidRPr="00B2525C">
        <w:t xml:space="preserve"> data collected in 2016). </w:t>
      </w:r>
      <w:r w:rsidR="00B94E8B" w:rsidRPr="00B2525C">
        <w:t>Key resources used in the development of the Moonee Valley Health and Wellbeing Profile</w:t>
      </w:r>
      <w:r w:rsidR="00D03F5C" w:rsidRPr="00B2525C">
        <w:t xml:space="preserve"> include</w:t>
      </w:r>
      <w:r w:rsidR="00B94E8B" w:rsidRPr="00B2525C">
        <w:t>:</w:t>
      </w:r>
      <w:r w:rsidR="00827B35" w:rsidRPr="00B2525C">
        <w:t xml:space="preserve"> </w:t>
      </w:r>
    </w:p>
    <w:p w14:paraId="3A8DE17E" w14:textId="77777777" w:rsidR="00B2525C" w:rsidRPr="00B2525C" w:rsidRDefault="00B2525C" w:rsidP="00BE2883">
      <w:pPr>
        <w:pStyle w:val="BodyText"/>
      </w:pPr>
    </w:p>
    <w:p w14:paraId="70107A42" w14:textId="77777777" w:rsidR="00827B35" w:rsidRPr="002607B0" w:rsidRDefault="00827B35" w:rsidP="005F2779">
      <w:pPr>
        <w:pStyle w:val="ListParagraph"/>
        <w:numPr>
          <w:ilvl w:val="0"/>
          <w:numId w:val="17"/>
        </w:numPr>
        <w:spacing w:line="360" w:lineRule="auto"/>
        <w:rPr>
          <w:rFonts w:ascii="Circular Std Book" w:hAnsi="Circular Std Book" w:cs="Circular Std Book"/>
        </w:rPr>
      </w:pPr>
      <w:r w:rsidRPr="002607B0">
        <w:rPr>
          <w:rFonts w:ascii="Circular Std Book" w:hAnsi="Circular Std Book" w:cs="Circular Std Book"/>
        </w:rPr>
        <w:t xml:space="preserve">The Australian Bureau of Statistics, Census of Population and </w:t>
      </w:r>
      <w:proofErr w:type="gramStart"/>
      <w:r w:rsidRPr="002607B0">
        <w:rPr>
          <w:rFonts w:ascii="Circular Std Book" w:hAnsi="Circular Std Book" w:cs="Circular Std Book"/>
        </w:rPr>
        <w:t>Housing</w:t>
      </w:r>
      <w:r w:rsidR="00273FD2" w:rsidRPr="002607B0">
        <w:rPr>
          <w:rFonts w:ascii="Circular Std Book" w:hAnsi="Circular Std Book" w:cs="Circular Std Book"/>
          <w:spacing w:val="-21"/>
        </w:rPr>
        <w:t>,</w:t>
      </w:r>
      <w:r w:rsidR="006C251E" w:rsidRPr="002607B0">
        <w:rPr>
          <w:rFonts w:ascii="Circular Std Book" w:hAnsi="Circular Std Book" w:cs="Circular Std Book"/>
          <w:spacing w:val="-21"/>
        </w:rPr>
        <w:t xml:space="preserve"> </w:t>
      </w:r>
      <w:r w:rsidR="00263A11">
        <w:rPr>
          <w:rFonts w:ascii="Circular Std Book" w:hAnsi="Circular Std Book" w:cs="Circular Std Book"/>
          <w:spacing w:val="-21"/>
        </w:rPr>
        <w:t xml:space="preserve"> </w:t>
      </w:r>
      <w:r w:rsidRPr="002607B0">
        <w:rPr>
          <w:rFonts w:ascii="Circular Std Book" w:hAnsi="Circular Std Book" w:cs="Circular Std Book"/>
        </w:rPr>
        <w:t>2016</w:t>
      </w:r>
      <w:proofErr w:type="gramEnd"/>
      <w:r w:rsidR="00D87B07" w:rsidRPr="002607B0">
        <w:rPr>
          <w:rFonts w:ascii="Circular Std Book" w:hAnsi="Circular Std Book" w:cs="Circular Std Book"/>
        </w:rPr>
        <w:t xml:space="preserve"> (all ages)</w:t>
      </w:r>
    </w:p>
    <w:p w14:paraId="432F2DDD" w14:textId="77777777" w:rsidR="00827B35" w:rsidRPr="002607B0" w:rsidRDefault="00827B35" w:rsidP="005F2779">
      <w:pPr>
        <w:pStyle w:val="ListParagraph"/>
        <w:numPr>
          <w:ilvl w:val="0"/>
          <w:numId w:val="17"/>
        </w:numPr>
        <w:spacing w:line="360" w:lineRule="auto"/>
        <w:rPr>
          <w:rFonts w:ascii="Circular Std Book" w:hAnsi="Circular Std Book" w:cs="Circular Std Book"/>
        </w:rPr>
      </w:pPr>
      <w:r w:rsidRPr="002607B0">
        <w:rPr>
          <w:rFonts w:ascii="Circular Std Book" w:hAnsi="Circular Std Book" w:cs="Circular Std Book"/>
        </w:rPr>
        <w:t xml:space="preserve">The Victorian Population Health </w:t>
      </w:r>
      <w:proofErr w:type="gramStart"/>
      <w:r w:rsidRPr="002607B0">
        <w:rPr>
          <w:rFonts w:ascii="Circular Std Book" w:hAnsi="Circular Std Book" w:cs="Circular Std Book"/>
        </w:rPr>
        <w:t>Survey</w:t>
      </w:r>
      <w:r w:rsidR="00273FD2" w:rsidRPr="002607B0">
        <w:rPr>
          <w:rFonts w:ascii="Circular Std Book" w:hAnsi="Circular Std Book" w:cs="Circular Std Book"/>
        </w:rPr>
        <w:t xml:space="preserve">, </w:t>
      </w:r>
      <w:r w:rsidRPr="002607B0">
        <w:rPr>
          <w:rFonts w:ascii="Circular Std Book" w:hAnsi="Circular Std Book" w:cs="Circular Std Book"/>
          <w:spacing w:val="-22"/>
        </w:rPr>
        <w:t xml:space="preserve"> </w:t>
      </w:r>
      <w:r w:rsidR="00645990" w:rsidRPr="002607B0">
        <w:rPr>
          <w:rFonts w:ascii="Circular Std Book" w:hAnsi="Circular Std Book" w:cs="Circular Std Book"/>
          <w:spacing w:val="-22"/>
        </w:rPr>
        <w:t>2017</w:t>
      </w:r>
      <w:proofErr w:type="gramEnd"/>
      <w:r w:rsidR="0029000B" w:rsidRPr="002607B0">
        <w:rPr>
          <w:rFonts w:ascii="Circular Std Book" w:hAnsi="Circular Std Book" w:cs="Circular Std Book"/>
          <w:spacing w:val="-22"/>
        </w:rPr>
        <w:t xml:space="preserve"> </w:t>
      </w:r>
      <w:r w:rsidR="008F00A3" w:rsidRPr="002607B0">
        <w:rPr>
          <w:rFonts w:ascii="Circular Std Book" w:hAnsi="Circular Std Book" w:cs="Circular Std Book"/>
          <w:spacing w:val="-22"/>
        </w:rPr>
        <w:t xml:space="preserve"> </w:t>
      </w:r>
      <w:r w:rsidR="00645990" w:rsidRPr="002607B0">
        <w:rPr>
          <w:rFonts w:ascii="Circular Std Book" w:hAnsi="Circular Std Book" w:cs="Circular Std Book"/>
        </w:rPr>
        <w:t>(adults aged 18 and older)</w:t>
      </w:r>
    </w:p>
    <w:p w14:paraId="03FF42BE" w14:textId="77777777" w:rsidR="00827B35" w:rsidRPr="002607B0" w:rsidRDefault="00E37EA5" w:rsidP="005F2779">
      <w:pPr>
        <w:pStyle w:val="ListParagraph"/>
        <w:numPr>
          <w:ilvl w:val="0"/>
          <w:numId w:val="17"/>
        </w:numPr>
        <w:spacing w:line="360" w:lineRule="auto"/>
        <w:rPr>
          <w:rFonts w:ascii="Circular Std Book" w:hAnsi="Circular Std Book" w:cs="Circular Std Book"/>
        </w:rPr>
      </w:pPr>
      <w:r w:rsidRPr="002607B0">
        <w:rPr>
          <w:rFonts w:ascii="Circular Std Book" w:hAnsi="Circular Std Book" w:cs="Circular Std Book"/>
        </w:rPr>
        <w:t>Moonee Valley City Council</w:t>
      </w:r>
      <w:r w:rsidR="00827B35" w:rsidRPr="002607B0">
        <w:rPr>
          <w:rFonts w:ascii="Circular Std Book" w:hAnsi="Circular Std Book" w:cs="Circular Std Book"/>
        </w:rPr>
        <w:t xml:space="preserve"> Community </w:t>
      </w:r>
      <w:r w:rsidR="00376122" w:rsidRPr="002607B0">
        <w:rPr>
          <w:rFonts w:ascii="Circular Std Book" w:hAnsi="Circular Std Book" w:cs="Circular Std Book"/>
        </w:rPr>
        <w:t xml:space="preserve">Satisfaction </w:t>
      </w:r>
      <w:r w:rsidR="00827B35" w:rsidRPr="002607B0">
        <w:rPr>
          <w:rFonts w:ascii="Circular Std Book" w:hAnsi="Circular Std Book" w:cs="Circular Std Book"/>
        </w:rPr>
        <w:t>Survey</w:t>
      </w:r>
      <w:r w:rsidR="00273FD2" w:rsidRPr="002607B0">
        <w:rPr>
          <w:rFonts w:ascii="Circular Std Book" w:hAnsi="Circular Std Book" w:cs="Circular Std Book"/>
        </w:rPr>
        <w:t>,</w:t>
      </w:r>
      <w:r w:rsidR="00827B35" w:rsidRPr="002607B0">
        <w:rPr>
          <w:rFonts w:ascii="Circular Std Book" w:hAnsi="Circular Std Book" w:cs="Circular Std Book"/>
          <w:spacing w:val="-26"/>
        </w:rPr>
        <w:t xml:space="preserve"> </w:t>
      </w:r>
      <w:r w:rsidR="00827B35" w:rsidRPr="002607B0">
        <w:rPr>
          <w:rFonts w:ascii="Circular Std Book" w:hAnsi="Circular Std Book" w:cs="Circular Std Book"/>
        </w:rPr>
        <w:t>202</w:t>
      </w:r>
      <w:r w:rsidR="0052694B" w:rsidRPr="002607B0">
        <w:rPr>
          <w:rFonts w:ascii="Circular Std Book" w:hAnsi="Circular Std Book" w:cs="Circular Std Book"/>
        </w:rPr>
        <w:t>1</w:t>
      </w:r>
      <w:r w:rsidR="00645990" w:rsidRPr="002607B0">
        <w:rPr>
          <w:rFonts w:ascii="Circular Std Book" w:hAnsi="Circular Std Book" w:cs="Circular Std Book"/>
        </w:rPr>
        <w:t xml:space="preserve"> (adults aged 18 and older)</w:t>
      </w:r>
    </w:p>
    <w:p w14:paraId="72B02320" w14:textId="77777777" w:rsidR="005D1311" w:rsidRPr="002607B0" w:rsidRDefault="005D1311" w:rsidP="005F2779">
      <w:pPr>
        <w:pStyle w:val="ListParagraph"/>
        <w:numPr>
          <w:ilvl w:val="0"/>
          <w:numId w:val="17"/>
        </w:numPr>
        <w:spacing w:line="360" w:lineRule="auto"/>
        <w:rPr>
          <w:rFonts w:ascii="Circular Std Book" w:hAnsi="Circular Std Book" w:cs="Circular Std Book"/>
        </w:rPr>
      </w:pPr>
      <w:r w:rsidRPr="002607B0">
        <w:rPr>
          <w:rFonts w:ascii="Circular Std Book" w:hAnsi="Circular Std Book" w:cs="Circular Std Book"/>
        </w:rPr>
        <w:t xml:space="preserve">Turning Point – alcohol and other drugs statistical mapping 2010 – 2019 </w:t>
      </w:r>
      <w:r w:rsidR="004021F4" w:rsidRPr="002607B0">
        <w:rPr>
          <w:rFonts w:ascii="Circular Std Book" w:hAnsi="Circular Std Book" w:cs="Circular Std Book"/>
        </w:rPr>
        <w:t>(</w:t>
      </w:r>
      <w:r w:rsidRPr="002607B0">
        <w:rPr>
          <w:rFonts w:ascii="Circular Std Book" w:hAnsi="Circular Std Book" w:cs="Circular Std Book"/>
        </w:rPr>
        <w:t>all ages)</w:t>
      </w:r>
    </w:p>
    <w:p w14:paraId="6A4073FD" w14:textId="77777777" w:rsidR="008F00A3" w:rsidRPr="002607B0" w:rsidRDefault="008F00A3" w:rsidP="005F2779">
      <w:pPr>
        <w:pStyle w:val="ListParagraph"/>
        <w:numPr>
          <w:ilvl w:val="0"/>
          <w:numId w:val="17"/>
        </w:numPr>
        <w:spacing w:line="360" w:lineRule="auto"/>
        <w:rPr>
          <w:rFonts w:ascii="Circular Std Book" w:hAnsi="Circular Std Book" w:cs="Circular Std Book"/>
        </w:rPr>
      </w:pPr>
      <w:r w:rsidRPr="002607B0">
        <w:rPr>
          <w:rFonts w:ascii="Circular Std Book" w:hAnsi="Circular Std Book" w:cs="Circular Std Book"/>
        </w:rPr>
        <w:t>Road accidents</w:t>
      </w:r>
      <w:r w:rsidR="00A6045E" w:rsidRPr="002607B0">
        <w:rPr>
          <w:rFonts w:ascii="Circular Std Book" w:hAnsi="Circular Std Book" w:cs="Circular Std Book"/>
        </w:rPr>
        <w:t>, VicRoads, 2019</w:t>
      </w:r>
    </w:p>
    <w:p w14:paraId="45AEAA5E" w14:textId="77777777" w:rsidR="00A6045E" w:rsidRPr="002607B0" w:rsidRDefault="00A6045E" w:rsidP="005F2779">
      <w:pPr>
        <w:pStyle w:val="ListParagraph"/>
        <w:numPr>
          <w:ilvl w:val="0"/>
          <w:numId w:val="17"/>
        </w:numPr>
        <w:spacing w:line="360" w:lineRule="auto"/>
        <w:rPr>
          <w:rFonts w:ascii="Circular Std Book" w:hAnsi="Circular Std Book" w:cs="Circular Std Book"/>
        </w:rPr>
      </w:pPr>
      <w:r w:rsidRPr="002607B0">
        <w:rPr>
          <w:rFonts w:ascii="Circular Std Book" w:eastAsia="Arial" w:hAnsi="Circular Std Book" w:cs="Circular Std Book"/>
          <w:color w:val="000000"/>
        </w:rPr>
        <w:t>A</w:t>
      </w:r>
      <w:r w:rsidR="00A745C0" w:rsidRPr="002607B0">
        <w:rPr>
          <w:rFonts w:ascii="Circular Std Book" w:eastAsia="Arial" w:hAnsi="Circular Std Book" w:cs="Circular Std Book"/>
          <w:color w:val="000000"/>
        </w:rPr>
        <w:t xml:space="preserve">ustralian Institute of </w:t>
      </w:r>
      <w:r w:rsidRPr="002607B0">
        <w:rPr>
          <w:rFonts w:ascii="Circular Std Book" w:eastAsia="Arial" w:hAnsi="Circular Std Book" w:cs="Circular Std Book"/>
          <w:color w:val="000000"/>
        </w:rPr>
        <w:t>H</w:t>
      </w:r>
      <w:r w:rsidR="00A745C0" w:rsidRPr="002607B0">
        <w:rPr>
          <w:rFonts w:ascii="Circular Std Book" w:eastAsia="Arial" w:hAnsi="Circular Std Book" w:cs="Circular Std Book"/>
          <w:color w:val="000000"/>
        </w:rPr>
        <w:t xml:space="preserve">ealth and </w:t>
      </w:r>
      <w:r w:rsidRPr="002607B0">
        <w:rPr>
          <w:rFonts w:ascii="Circular Std Book" w:eastAsia="Arial" w:hAnsi="Circular Std Book" w:cs="Circular Std Book"/>
          <w:color w:val="000000"/>
        </w:rPr>
        <w:t>W</w:t>
      </w:r>
      <w:r w:rsidR="00A745C0" w:rsidRPr="002607B0">
        <w:rPr>
          <w:rFonts w:ascii="Circular Std Book" w:eastAsia="Arial" w:hAnsi="Circular Std Book" w:cs="Circular Std Book"/>
          <w:color w:val="000000"/>
        </w:rPr>
        <w:t>elfare</w:t>
      </w:r>
      <w:r w:rsidRPr="002607B0">
        <w:rPr>
          <w:rFonts w:ascii="Circular Std Book" w:eastAsia="Arial" w:hAnsi="Circular Std Book" w:cs="Circular Std Book"/>
          <w:color w:val="000000"/>
        </w:rPr>
        <w:t>, Mortality</w:t>
      </w:r>
      <w:r w:rsidR="00A745C0" w:rsidRPr="002607B0">
        <w:rPr>
          <w:rFonts w:ascii="Circular Std Book" w:eastAsia="Arial" w:hAnsi="Circular Std Book" w:cs="Circular Std Book"/>
          <w:color w:val="000000"/>
        </w:rPr>
        <w:t>, 2018</w:t>
      </w:r>
    </w:p>
    <w:p w14:paraId="58CAC2D8" w14:textId="77777777" w:rsidR="00273FD2" w:rsidRPr="002607B0" w:rsidRDefault="00273FD2" w:rsidP="005F2779">
      <w:pPr>
        <w:pStyle w:val="ListParagraph"/>
        <w:numPr>
          <w:ilvl w:val="0"/>
          <w:numId w:val="17"/>
        </w:numPr>
        <w:spacing w:line="360" w:lineRule="auto"/>
        <w:rPr>
          <w:rFonts w:ascii="Circular Std Book" w:hAnsi="Circular Std Book" w:cs="Circular Std Book"/>
        </w:rPr>
      </w:pPr>
      <w:r w:rsidRPr="002607B0">
        <w:rPr>
          <w:rFonts w:ascii="Circular Std Book" w:eastAsia="Times New Roman" w:hAnsi="Circular Std Book" w:cs="Circular Std Book"/>
        </w:rPr>
        <w:t>Victorian Injury Surveillance Unit Monash University</w:t>
      </w:r>
      <w:r w:rsidR="00A6045E" w:rsidRPr="002607B0">
        <w:rPr>
          <w:rFonts w:ascii="Circular Std Book" w:eastAsia="Times New Roman" w:hAnsi="Circular Std Book" w:cs="Circular Std Book"/>
        </w:rPr>
        <w:t>, 2018</w:t>
      </w:r>
      <w:r w:rsidR="00A745C0" w:rsidRPr="002607B0">
        <w:rPr>
          <w:rFonts w:ascii="Circular Std Book" w:eastAsia="Times New Roman" w:hAnsi="Circular Std Book" w:cs="Circular Std Book"/>
        </w:rPr>
        <w:t xml:space="preserve"> (all ages)</w:t>
      </w:r>
    </w:p>
    <w:p w14:paraId="75A1CB7B" w14:textId="77777777" w:rsidR="00273FD2" w:rsidRPr="002607B0" w:rsidRDefault="00273FD2" w:rsidP="005F2779">
      <w:pPr>
        <w:pStyle w:val="ListParagraph"/>
        <w:numPr>
          <w:ilvl w:val="0"/>
          <w:numId w:val="17"/>
        </w:numPr>
        <w:spacing w:line="360" w:lineRule="auto"/>
        <w:rPr>
          <w:rFonts w:ascii="Circular Std Book" w:hAnsi="Circular Std Book" w:cs="Circular Std Book"/>
        </w:rPr>
      </w:pPr>
      <w:r w:rsidRPr="002607B0">
        <w:rPr>
          <w:rFonts w:ascii="Circular Std Book" w:eastAsia="Times New Roman" w:hAnsi="Circular Std Book" w:cs="Circular Std Book"/>
        </w:rPr>
        <w:t>Crime Statistics Agency, Victoria</w:t>
      </w:r>
      <w:r w:rsidR="00A6045E" w:rsidRPr="002607B0">
        <w:rPr>
          <w:rFonts w:ascii="Circular Std Book" w:eastAsia="Times New Roman" w:hAnsi="Circular Std Book" w:cs="Circular Std Book"/>
        </w:rPr>
        <w:t>, 2021</w:t>
      </w:r>
    </w:p>
    <w:p w14:paraId="5B0826EB" w14:textId="77777777" w:rsidR="00273FD2" w:rsidRPr="002607B0" w:rsidRDefault="00273FD2" w:rsidP="005F2779">
      <w:pPr>
        <w:pStyle w:val="ListParagraph"/>
        <w:numPr>
          <w:ilvl w:val="0"/>
          <w:numId w:val="17"/>
        </w:numPr>
        <w:spacing w:line="360" w:lineRule="auto"/>
        <w:rPr>
          <w:rFonts w:ascii="Circular Std Book" w:hAnsi="Circular Std Book" w:cs="Circular Std Book"/>
        </w:rPr>
      </w:pPr>
      <w:r w:rsidRPr="002607B0">
        <w:rPr>
          <w:rFonts w:ascii="Circular Std Book" w:eastAsia="Times New Roman" w:hAnsi="Circular Std Book" w:cs="Circular Std Book"/>
        </w:rPr>
        <w:t>Dental Health Services, Victoria, 2019 (Children aged 0-12)</w:t>
      </w:r>
    </w:p>
    <w:p w14:paraId="62C9DB50" w14:textId="77777777" w:rsidR="00273FD2" w:rsidRPr="002607B0" w:rsidRDefault="00273FD2" w:rsidP="005F2779">
      <w:pPr>
        <w:pStyle w:val="ListParagraph"/>
        <w:numPr>
          <w:ilvl w:val="0"/>
          <w:numId w:val="17"/>
        </w:numPr>
        <w:spacing w:line="360" w:lineRule="auto"/>
        <w:rPr>
          <w:rFonts w:ascii="Circular Std Book" w:hAnsi="Circular Std Book" w:cs="Circular Std Book"/>
        </w:rPr>
      </w:pPr>
      <w:r w:rsidRPr="002607B0">
        <w:rPr>
          <w:rFonts w:ascii="Circular Std Book" w:eastAsia="Times New Roman" w:hAnsi="Circular Std Book" w:cs="Circular Std Book"/>
        </w:rPr>
        <w:t>Australian National Healthy Survey, 2017 (all ages)</w:t>
      </w:r>
    </w:p>
    <w:p w14:paraId="74EF7303" w14:textId="77777777" w:rsidR="00AB4229" w:rsidRDefault="00AB4229" w:rsidP="00BE2883">
      <w:pPr>
        <w:pStyle w:val="BodyText"/>
      </w:pPr>
      <w:r>
        <w:br w:type="page"/>
      </w:r>
    </w:p>
    <w:p w14:paraId="211C29F6" w14:textId="1EC36533" w:rsidR="00AB4229" w:rsidRDefault="00AB4229" w:rsidP="00C918A0">
      <w:pPr>
        <w:pStyle w:val="Heading2"/>
      </w:pPr>
      <w:r>
        <w:lastRenderedPageBreak/>
        <w:t xml:space="preserve">Moonee Valley </w:t>
      </w:r>
      <w:r w:rsidR="00C93841">
        <w:t>t</w:t>
      </w:r>
      <w:r>
        <w:t xml:space="preserve">arget </w:t>
      </w:r>
      <w:r w:rsidR="00C93841">
        <w:t>p</w:t>
      </w:r>
      <w:r>
        <w:t>opulations</w:t>
      </w:r>
    </w:p>
    <w:p w14:paraId="50827D2F" w14:textId="77777777" w:rsidR="002607B0" w:rsidRDefault="002607B0" w:rsidP="00BE2883">
      <w:pPr>
        <w:pStyle w:val="BodyText"/>
        <w:rPr>
          <w:rFonts w:eastAsiaTheme="minorHAnsi" w:cstheme="minorBidi"/>
          <w:lang w:val="en-AU"/>
        </w:rPr>
      </w:pPr>
    </w:p>
    <w:p w14:paraId="39096478" w14:textId="695FF566" w:rsidR="004B65E2" w:rsidRDefault="00FA7ED7" w:rsidP="00BE2883">
      <w:pPr>
        <w:pStyle w:val="BodyText"/>
      </w:pPr>
      <w:r w:rsidRPr="00B2525C">
        <w:t xml:space="preserve">The </w:t>
      </w:r>
      <w:r w:rsidR="00263A11">
        <w:t>profile</w:t>
      </w:r>
      <w:r w:rsidRPr="00B2525C">
        <w:t xml:space="preserve"> will highlight the impacts of the pandemic and will pay close attention to </w:t>
      </w:r>
      <w:r w:rsidR="00263A11">
        <w:t xml:space="preserve">Moonee Valley </w:t>
      </w:r>
      <w:r w:rsidR="001E1DF4" w:rsidRPr="00B2525C">
        <w:t xml:space="preserve">target </w:t>
      </w:r>
      <w:r w:rsidR="00A058BC" w:rsidRPr="00B2525C">
        <w:t xml:space="preserve">populations </w:t>
      </w:r>
      <w:r w:rsidR="004B65E2" w:rsidRPr="00B2525C">
        <w:t xml:space="preserve">who are more vulnerable to experiencing health inequities </w:t>
      </w:r>
      <w:r w:rsidR="004F5EAA" w:rsidRPr="00B2525C">
        <w:t>including</w:t>
      </w:r>
      <w:r w:rsidR="004B65E2" w:rsidRPr="00B2525C">
        <w:t>:</w:t>
      </w:r>
      <w:r w:rsidR="006C251E" w:rsidRPr="00B2525C">
        <w:br/>
      </w:r>
    </w:p>
    <w:p w14:paraId="21562D56" w14:textId="02160993" w:rsidR="00CD2204" w:rsidRDefault="00CD2204" w:rsidP="00BE2883">
      <w:pPr>
        <w:pStyle w:val="BodyText"/>
      </w:pPr>
    </w:p>
    <w:tbl>
      <w:tblPr>
        <w:tblStyle w:val="TableGrid"/>
        <w:tblW w:w="9781" w:type="dxa"/>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27"/>
      </w:tblGrid>
      <w:tr w:rsidR="00CD2204" w14:paraId="7D0EBACE" w14:textId="77777777" w:rsidTr="007D0646">
        <w:tc>
          <w:tcPr>
            <w:tcW w:w="5954" w:type="dxa"/>
          </w:tcPr>
          <w:p w14:paraId="2C2F99CC" w14:textId="77777777" w:rsidR="00CD2204" w:rsidRDefault="00CD2204" w:rsidP="002077B5">
            <w:r>
              <w:t>Aboriginal and Torres Strait Islander Peoples</w:t>
            </w:r>
          </w:p>
        </w:tc>
        <w:tc>
          <w:tcPr>
            <w:tcW w:w="3827" w:type="dxa"/>
          </w:tcPr>
          <w:p w14:paraId="685E19C0" w14:textId="77777777" w:rsidR="00CD2204" w:rsidRPr="0001191C" w:rsidRDefault="00CD2204" w:rsidP="002077B5">
            <w:r w:rsidRPr="0001191C">
              <w:rPr>
                <w:noProof/>
              </w:rPr>
              <w:drawing>
                <wp:inline distT="0" distB="0" distL="0" distR="0" wp14:anchorId="416CF569" wp14:editId="0C0F909E">
                  <wp:extent cx="540000" cy="536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59" t="6626"/>
                          <a:stretch/>
                        </pic:blipFill>
                        <pic:spPr bwMode="auto">
                          <a:xfrm>
                            <a:off x="0" y="0"/>
                            <a:ext cx="540000" cy="536180"/>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3ECABC7E" w14:textId="77777777" w:rsidTr="007D0646">
        <w:tc>
          <w:tcPr>
            <w:tcW w:w="5954" w:type="dxa"/>
          </w:tcPr>
          <w:p w14:paraId="39216BCB" w14:textId="77777777" w:rsidR="00CD2204" w:rsidRDefault="00CD2204" w:rsidP="002077B5">
            <w:r>
              <w:t>Culturally and Linguistically Diverse (CALD)</w:t>
            </w:r>
          </w:p>
        </w:tc>
        <w:tc>
          <w:tcPr>
            <w:tcW w:w="3827" w:type="dxa"/>
          </w:tcPr>
          <w:p w14:paraId="42C29B40" w14:textId="77777777" w:rsidR="00CD2204" w:rsidRPr="0001191C" w:rsidRDefault="00CD2204" w:rsidP="002077B5">
            <w:r w:rsidRPr="0001191C">
              <w:rPr>
                <w:noProof/>
              </w:rPr>
              <w:drawing>
                <wp:inline distT="0" distB="0" distL="0" distR="0" wp14:anchorId="69CD6D49" wp14:editId="08E67412">
                  <wp:extent cx="540000" cy="536424"/>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843" t="1" b="3403"/>
                          <a:stretch/>
                        </pic:blipFill>
                        <pic:spPr bwMode="auto">
                          <a:xfrm>
                            <a:off x="0" y="0"/>
                            <a:ext cx="540000" cy="536424"/>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6F5C17C4" w14:textId="77777777" w:rsidTr="007D0646">
        <w:tc>
          <w:tcPr>
            <w:tcW w:w="5954" w:type="dxa"/>
          </w:tcPr>
          <w:p w14:paraId="02AE0A3D" w14:textId="77777777" w:rsidR="00CD2204" w:rsidRDefault="00CD2204" w:rsidP="002077B5">
            <w:r>
              <w:t>People living on low and/or insufficient incomes</w:t>
            </w:r>
          </w:p>
        </w:tc>
        <w:tc>
          <w:tcPr>
            <w:tcW w:w="3827" w:type="dxa"/>
          </w:tcPr>
          <w:p w14:paraId="3EDAEA52" w14:textId="77777777" w:rsidR="00CD2204" w:rsidRPr="0001191C" w:rsidRDefault="00CD2204" w:rsidP="002077B5">
            <w:r w:rsidRPr="0001191C">
              <w:rPr>
                <w:noProof/>
              </w:rPr>
              <w:drawing>
                <wp:inline distT="0" distB="0" distL="0" distR="0" wp14:anchorId="149AE99E" wp14:editId="16010C19">
                  <wp:extent cx="540000" cy="5361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54"/>
                          <a:stretch/>
                        </pic:blipFill>
                        <pic:spPr bwMode="auto">
                          <a:xfrm>
                            <a:off x="0" y="0"/>
                            <a:ext cx="540000" cy="536197"/>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5E5D94C4" w14:textId="77777777" w:rsidTr="007D0646">
        <w:tc>
          <w:tcPr>
            <w:tcW w:w="5954" w:type="dxa"/>
          </w:tcPr>
          <w:p w14:paraId="3B089B16" w14:textId="77777777" w:rsidR="00CD2204" w:rsidRDefault="00CD2204" w:rsidP="002077B5">
            <w:r>
              <w:t>People experiencing homelessness</w:t>
            </w:r>
          </w:p>
        </w:tc>
        <w:tc>
          <w:tcPr>
            <w:tcW w:w="3827" w:type="dxa"/>
          </w:tcPr>
          <w:p w14:paraId="2DEFAA1B" w14:textId="77777777" w:rsidR="00CD2204" w:rsidRPr="0001191C" w:rsidRDefault="00CD2204" w:rsidP="002077B5">
            <w:r w:rsidRPr="0001191C">
              <w:rPr>
                <w:noProof/>
              </w:rPr>
              <w:drawing>
                <wp:inline distT="0" distB="0" distL="0" distR="0" wp14:anchorId="7A2759CD" wp14:editId="52AD0E33">
                  <wp:extent cx="540000" cy="55173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55" r="2547" b="1398"/>
                          <a:stretch/>
                        </pic:blipFill>
                        <pic:spPr bwMode="auto">
                          <a:xfrm>
                            <a:off x="0" y="0"/>
                            <a:ext cx="540000" cy="551739"/>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2AA9F63C" w14:textId="77777777" w:rsidTr="007D0646">
        <w:tc>
          <w:tcPr>
            <w:tcW w:w="5954" w:type="dxa"/>
          </w:tcPr>
          <w:p w14:paraId="4720FD91" w14:textId="77777777" w:rsidR="00CD2204" w:rsidRDefault="00CD2204" w:rsidP="002077B5">
            <w:r w:rsidRPr="00AF482D">
              <w:t>Children of all ages,</w:t>
            </w:r>
            <w:r>
              <w:t xml:space="preserve"> </w:t>
            </w:r>
            <w:r w:rsidRPr="00AF482D">
              <w:t>with speci</w:t>
            </w:r>
            <w:r>
              <w:t>fi</w:t>
            </w:r>
            <w:r w:rsidRPr="00AF482D">
              <w:t>c attention to the</w:t>
            </w:r>
            <w:r>
              <w:t xml:space="preserve"> fi</w:t>
            </w:r>
            <w:r w:rsidRPr="00AF482D">
              <w:t>rst thousand days</w:t>
            </w:r>
            <w:r>
              <w:t xml:space="preserve"> </w:t>
            </w:r>
            <w:r w:rsidRPr="00AF482D">
              <w:t>(pregnancy to two years old)</w:t>
            </w:r>
          </w:p>
        </w:tc>
        <w:tc>
          <w:tcPr>
            <w:tcW w:w="3827" w:type="dxa"/>
          </w:tcPr>
          <w:p w14:paraId="0FAE3EC0" w14:textId="77777777" w:rsidR="00CD2204" w:rsidRPr="00AF482D" w:rsidRDefault="00CD2204" w:rsidP="002077B5">
            <w:r w:rsidRPr="00AF482D">
              <w:rPr>
                <w:noProof/>
              </w:rPr>
              <w:drawing>
                <wp:inline distT="0" distB="0" distL="0" distR="0" wp14:anchorId="7B77AD2D" wp14:editId="393B97ED">
                  <wp:extent cx="540000" cy="524460"/>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388" t="2796" r="1935" b="2796"/>
                          <a:stretch/>
                        </pic:blipFill>
                        <pic:spPr bwMode="auto">
                          <a:xfrm>
                            <a:off x="0" y="0"/>
                            <a:ext cx="540000" cy="524460"/>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33A90EC5" w14:textId="77777777" w:rsidTr="007D0646">
        <w:tc>
          <w:tcPr>
            <w:tcW w:w="5954" w:type="dxa"/>
          </w:tcPr>
          <w:p w14:paraId="55583543" w14:textId="77777777" w:rsidR="00CD2204" w:rsidRDefault="00CD2204" w:rsidP="002077B5">
            <w:r>
              <w:t>Young people</w:t>
            </w:r>
          </w:p>
        </w:tc>
        <w:tc>
          <w:tcPr>
            <w:tcW w:w="3827" w:type="dxa"/>
          </w:tcPr>
          <w:p w14:paraId="03ECEF68" w14:textId="77777777" w:rsidR="00CD2204" w:rsidRPr="00AF482D" w:rsidRDefault="00CD2204" w:rsidP="002077B5">
            <w:r w:rsidRPr="00AF482D">
              <w:rPr>
                <w:noProof/>
              </w:rPr>
              <w:drawing>
                <wp:inline distT="0" distB="0" distL="0" distR="0" wp14:anchorId="1871EA5F" wp14:editId="6538F8A7">
                  <wp:extent cx="540000" cy="532501"/>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 cy="532501"/>
                          </a:xfrm>
                          <a:prstGeom prst="rect">
                            <a:avLst/>
                          </a:prstGeom>
                        </pic:spPr>
                      </pic:pic>
                    </a:graphicData>
                  </a:graphic>
                </wp:inline>
              </w:drawing>
            </w:r>
          </w:p>
        </w:tc>
      </w:tr>
      <w:tr w:rsidR="00CD2204" w14:paraId="07EE6009" w14:textId="77777777" w:rsidTr="007D0646">
        <w:tc>
          <w:tcPr>
            <w:tcW w:w="5954" w:type="dxa"/>
          </w:tcPr>
          <w:p w14:paraId="77A878ED" w14:textId="77777777" w:rsidR="00CD2204" w:rsidRDefault="00CD2204" w:rsidP="002077B5">
            <w:r>
              <w:t>Older people</w:t>
            </w:r>
          </w:p>
        </w:tc>
        <w:tc>
          <w:tcPr>
            <w:tcW w:w="3827" w:type="dxa"/>
          </w:tcPr>
          <w:p w14:paraId="074BF478" w14:textId="77777777" w:rsidR="00CD2204" w:rsidRPr="00AF482D" w:rsidRDefault="00CD2204" w:rsidP="002077B5">
            <w:r w:rsidRPr="00AF482D">
              <w:rPr>
                <w:noProof/>
              </w:rPr>
              <w:drawing>
                <wp:inline distT="0" distB="0" distL="0" distR="0" wp14:anchorId="42667F97" wp14:editId="71398916">
                  <wp:extent cx="540000" cy="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78" t="-1" b="2797"/>
                          <a:stretch/>
                        </pic:blipFill>
                        <pic:spPr bwMode="auto">
                          <a:xfrm>
                            <a:off x="0" y="0"/>
                            <a:ext cx="540000"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1343E93C" w14:textId="77777777" w:rsidTr="007D0646">
        <w:tc>
          <w:tcPr>
            <w:tcW w:w="5954" w:type="dxa"/>
          </w:tcPr>
          <w:p w14:paraId="5EE6F4D6" w14:textId="77777777" w:rsidR="00CD2204" w:rsidRDefault="00CD2204" w:rsidP="002077B5">
            <w:r>
              <w:t>People with disability or mental illness</w:t>
            </w:r>
          </w:p>
        </w:tc>
        <w:tc>
          <w:tcPr>
            <w:tcW w:w="3827" w:type="dxa"/>
          </w:tcPr>
          <w:p w14:paraId="39231E08" w14:textId="77777777" w:rsidR="00CD2204" w:rsidRPr="00AF482D" w:rsidRDefault="00CD2204" w:rsidP="002077B5">
            <w:r w:rsidRPr="00AF482D">
              <w:rPr>
                <w:noProof/>
              </w:rPr>
              <w:drawing>
                <wp:inline distT="0" distB="0" distL="0" distR="0" wp14:anchorId="563F1830" wp14:editId="4D8FBA96">
                  <wp:extent cx="540000" cy="54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442"/>
                          <a:stretch/>
                        </pic:blipFill>
                        <pic:spPr bwMode="auto">
                          <a:xfrm>
                            <a:off x="0" y="0"/>
                            <a:ext cx="540000"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070D7DC6" w14:textId="77777777" w:rsidTr="007D0646">
        <w:tc>
          <w:tcPr>
            <w:tcW w:w="5954" w:type="dxa"/>
          </w:tcPr>
          <w:p w14:paraId="2F574B7C" w14:textId="77777777" w:rsidR="00CD2204" w:rsidRDefault="00CD2204" w:rsidP="002077B5">
            <w:r>
              <w:t>Carers</w:t>
            </w:r>
          </w:p>
        </w:tc>
        <w:tc>
          <w:tcPr>
            <w:tcW w:w="3827" w:type="dxa"/>
          </w:tcPr>
          <w:p w14:paraId="30B76795" w14:textId="77777777" w:rsidR="00CD2204" w:rsidRPr="00AF482D" w:rsidRDefault="00CD2204" w:rsidP="002077B5">
            <w:r w:rsidRPr="00AF482D">
              <w:rPr>
                <w:noProof/>
              </w:rPr>
              <w:drawing>
                <wp:inline distT="0" distB="0" distL="0" distR="0" wp14:anchorId="737C2C77" wp14:editId="7DC2B5DB">
                  <wp:extent cx="540000" cy="54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48" r="-1"/>
                          <a:stretch/>
                        </pic:blipFill>
                        <pic:spPr bwMode="auto">
                          <a:xfrm>
                            <a:off x="0" y="0"/>
                            <a:ext cx="540000"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4FE89638" w14:textId="77777777" w:rsidTr="007D0646">
        <w:tc>
          <w:tcPr>
            <w:tcW w:w="5954" w:type="dxa"/>
          </w:tcPr>
          <w:p w14:paraId="04CF23CE" w14:textId="77777777" w:rsidR="00CD2204" w:rsidRDefault="00CD2204" w:rsidP="002077B5">
            <w:r w:rsidRPr="00AF482D">
              <w:t>Lesbian, Gay, Bisexual,</w:t>
            </w:r>
            <w:r>
              <w:t xml:space="preserve"> </w:t>
            </w:r>
            <w:r w:rsidRPr="00AF482D">
              <w:t>Trans and Gender Diverse,</w:t>
            </w:r>
            <w:r>
              <w:t xml:space="preserve"> </w:t>
            </w:r>
            <w:r w:rsidRPr="00AF482D">
              <w:t>Intersex, Queer, Asexual and all</w:t>
            </w:r>
            <w:r>
              <w:t xml:space="preserve"> </w:t>
            </w:r>
            <w:r w:rsidRPr="00AF482D">
              <w:t>other identities (LGBTIQA+)</w:t>
            </w:r>
          </w:p>
          <w:p w14:paraId="2B9EC2B6" w14:textId="5741726A" w:rsidR="007B415D" w:rsidRDefault="007B415D" w:rsidP="002077B5"/>
        </w:tc>
        <w:tc>
          <w:tcPr>
            <w:tcW w:w="3827" w:type="dxa"/>
          </w:tcPr>
          <w:p w14:paraId="20253ED8" w14:textId="77777777" w:rsidR="00CD2204" w:rsidRPr="00AF482D" w:rsidRDefault="00CD2204" w:rsidP="002077B5">
            <w:r w:rsidRPr="00AF482D">
              <w:rPr>
                <w:noProof/>
              </w:rPr>
              <w:drawing>
                <wp:inline distT="0" distB="0" distL="0" distR="0" wp14:anchorId="01AD09EA" wp14:editId="6662159F">
                  <wp:extent cx="540000" cy="5361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42"/>
                          <a:stretch/>
                        </pic:blipFill>
                        <pic:spPr bwMode="auto">
                          <a:xfrm>
                            <a:off x="0" y="0"/>
                            <a:ext cx="540000" cy="536115"/>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01275FDC" w14:textId="77777777" w:rsidTr="007D0646">
        <w:tc>
          <w:tcPr>
            <w:tcW w:w="5954" w:type="dxa"/>
          </w:tcPr>
          <w:p w14:paraId="28D7D390" w14:textId="77777777" w:rsidR="00CD2204" w:rsidRDefault="00CD2204" w:rsidP="002077B5">
            <w:r w:rsidRPr="00AF482D">
              <w:t>Socially, locally and technologically isolated people</w:t>
            </w:r>
          </w:p>
        </w:tc>
        <w:tc>
          <w:tcPr>
            <w:tcW w:w="3827" w:type="dxa"/>
          </w:tcPr>
          <w:p w14:paraId="65080EA9" w14:textId="77777777" w:rsidR="00CD2204" w:rsidRPr="00AF482D" w:rsidRDefault="00CD2204" w:rsidP="002077B5">
            <w:r w:rsidRPr="00AF482D">
              <w:rPr>
                <w:noProof/>
              </w:rPr>
              <w:drawing>
                <wp:inline distT="0" distB="0" distL="0" distR="0" wp14:anchorId="2871842B" wp14:editId="25E83725">
                  <wp:extent cx="540000" cy="5322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42" b="2837"/>
                          <a:stretch/>
                        </pic:blipFill>
                        <pic:spPr bwMode="auto">
                          <a:xfrm>
                            <a:off x="0" y="0"/>
                            <a:ext cx="540000" cy="532230"/>
                          </a:xfrm>
                          <a:prstGeom prst="rect">
                            <a:avLst/>
                          </a:prstGeom>
                          <a:ln>
                            <a:noFill/>
                          </a:ln>
                          <a:extLst>
                            <a:ext uri="{53640926-AAD7-44D8-BBD7-CCE9431645EC}">
                              <a14:shadowObscured xmlns:a14="http://schemas.microsoft.com/office/drawing/2010/main"/>
                            </a:ext>
                          </a:extLst>
                        </pic:spPr>
                      </pic:pic>
                    </a:graphicData>
                  </a:graphic>
                </wp:inline>
              </w:drawing>
            </w:r>
          </w:p>
        </w:tc>
      </w:tr>
      <w:tr w:rsidR="00CD2204" w14:paraId="68A881D9" w14:textId="77777777" w:rsidTr="007D0646">
        <w:tc>
          <w:tcPr>
            <w:tcW w:w="5954" w:type="dxa"/>
          </w:tcPr>
          <w:p w14:paraId="5E953511" w14:textId="77777777" w:rsidR="00CD2204" w:rsidRDefault="00CD2204" w:rsidP="002077B5">
            <w:r w:rsidRPr="00AF482D">
              <w:t>People at risk of exclusion</w:t>
            </w:r>
            <w:r>
              <w:t xml:space="preserve"> </w:t>
            </w:r>
            <w:r w:rsidRPr="00AF482D">
              <w:t>due to reasons that may include</w:t>
            </w:r>
            <w:r>
              <w:t xml:space="preserve"> </w:t>
            </w:r>
            <w:r w:rsidRPr="00AF482D">
              <w:t>family violence, pay inequities,</w:t>
            </w:r>
            <w:r>
              <w:t xml:space="preserve"> </w:t>
            </w:r>
            <w:r w:rsidRPr="00AF482D">
              <w:t>unemployment gender</w:t>
            </w:r>
            <w:r>
              <w:t xml:space="preserve"> </w:t>
            </w:r>
            <w:r w:rsidRPr="00AF482D">
              <w:t>stereotypes, being single</w:t>
            </w:r>
            <w:r>
              <w:t xml:space="preserve"> </w:t>
            </w:r>
            <w:r w:rsidRPr="00AF482D">
              <w:t>parents, divorced or widowed</w:t>
            </w:r>
          </w:p>
        </w:tc>
        <w:tc>
          <w:tcPr>
            <w:tcW w:w="3827" w:type="dxa"/>
          </w:tcPr>
          <w:p w14:paraId="2ECC24B2" w14:textId="77777777" w:rsidR="00CD2204" w:rsidRPr="00AF482D" w:rsidRDefault="00CD2204" w:rsidP="002077B5">
            <w:r w:rsidRPr="00AF482D">
              <w:rPr>
                <w:noProof/>
              </w:rPr>
              <w:drawing>
                <wp:inline distT="0" distB="0" distL="0" distR="0" wp14:anchorId="6D75E265" wp14:editId="5E7B3613">
                  <wp:extent cx="540000" cy="528591"/>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 cy="528591"/>
                          </a:xfrm>
                          <a:prstGeom prst="rect">
                            <a:avLst/>
                          </a:prstGeom>
                        </pic:spPr>
                      </pic:pic>
                    </a:graphicData>
                  </a:graphic>
                </wp:inline>
              </w:drawing>
            </w:r>
          </w:p>
        </w:tc>
      </w:tr>
    </w:tbl>
    <w:p w14:paraId="2279EAE6" w14:textId="3A3550A0" w:rsidR="00CD2204" w:rsidRDefault="00CD2204" w:rsidP="00BE2883">
      <w:pPr>
        <w:pStyle w:val="BodyText"/>
      </w:pPr>
    </w:p>
    <w:p w14:paraId="352AA0F5" w14:textId="77777777" w:rsidR="00CD2204" w:rsidRPr="00B2525C" w:rsidRDefault="00CD2204" w:rsidP="00BE2883">
      <w:pPr>
        <w:pStyle w:val="BodyText"/>
      </w:pPr>
    </w:p>
    <w:p w14:paraId="5B83C827" w14:textId="36075F54" w:rsidR="00EC4E90" w:rsidRPr="00FC0629" w:rsidRDefault="00B01D14" w:rsidP="00E96F27">
      <w:pPr>
        <w:pStyle w:val="ListParagraph"/>
        <w:numPr>
          <w:ilvl w:val="0"/>
          <w:numId w:val="17"/>
        </w:numPr>
        <w:rPr>
          <w:rFonts w:cs="Circular Std Book"/>
        </w:rPr>
      </w:pPr>
      <w:r w:rsidRPr="00C93841">
        <w:rPr>
          <w:rFonts w:ascii="Circular Std Book" w:hAnsi="Circular Std Book" w:cs="Circular Std Book"/>
        </w:rPr>
        <w:br w:type="page"/>
      </w:r>
    </w:p>
    <w:p w14:paraId="69A27401" w14:textId="77777777" w:rsidR="00775DC4" w:rsidRPr="00B2525C" w:rsidRDefault="00645C51" w:rsidP="00A85DA8">
      <w:pPr>
        <w:pStyle w:val="Heading2"/>
        <w:rPr>
          <w:rFonts w:cs="Arial"/>
        </w:rPr>
      </w:pPr>
      <w:bookmarkStart w:id="16" w:name="population-indigeous-language"/>
      <w:r w:rsidRPr="00B2525C">
        <w:rPr>
          <w:rFonts w:cs="Arial"/>
        </w:rPr>
        <w:lastRenderedPageBreak/>
        <w:t xml:space="preserve">Moonee Valley </w:t>
      </w:r>
      <w:r w:rsidR="002A53F6" w:rsidRPr="00B2525C">
        <w:rPr>
          <w:rFonts w:cs="Arial"/>
        </w:rPr>
        <w:t>l</w:t>
      </w:r>
      <w:r w:rsidR="00775DC4" w:rsidRPr="00B2525C">
        <w:rPr>
          <w:rFonts w:cs="Arial"/>
        </w:rPr>
        <w:t>ocation</w:t>
      </w:r>
      <w:r w:rsidR="000F7917" w:rsidRPr="00B2525C">
        <w:rPr>
          <w:rFonts w:cs="Arial"/>
        </w:rPr>
        <w:t xml:space="preserve"> </w:t>
      </w:r>
    </w:p>
    <w:p w14:paraId="18494386" w14:textId="77777777" w:rsidR="00DB61AA" w:rsidRDefault="00DB61AA" w:rsidP="00C85F94">
      <w:pPr>
        <w:spacing w:before="50"/>
        <w:ind w:right="2"/>
        <w:rPr>
          <w:rFonts w:cs="Arial"/>
        </w:rPr>
      </w:pPr>
    </w:p>
    <w:p w14:paraId="4DB03A81" w14:textId="7D34ABC1" w:rsidR="00C85F94" w:rsidRDefault="00C85F94" w:rsidP="00C85F94">
      <w:pPr>
        <w:spacing w:before="50"/>
        <w:ind w:right="2"/>
        <w:rPr>
          <w:rFonts w:cs="Arial"/>
        </w:rPr>
      </w:pPr>
      <w:r w:rsidRPr="00B2525C">
        <w:rPr>
          <w:rFonts w:cs="Arial"/>
        </w:rPr>
        <w:t xml:space="preserve">The </w:t>
      </w:r>
      <w:r w:rsidRPr="00DB61AA">
        <w:rPr>
          <w:rFonts w:cs="Arial"/>
        </w:rPr>
        <w:t xml:space="preserve">Wurundjeri </w:t>
      </w:r>
      <w:proofErr w:type="spellStart"/>
      <w:r w:rsidR="00CD2D66">
        <w:rPr>
          <w:rFonts w:cs="Arial"/>
        </w:rPr>
        <w:t>Woi</w:t>
      </w:r>
      <w:proofErr w:type="spellEnd"/>
      <w:r w:rsidR="00CD2D66">
        <w:rPr>
          <w:rFonts w:cs="Arial"/>
        </w:rPr>
        <w:t>-wurrung p</w:t>
      </w:r>
      <w:r w:rsidRPr="00DB61AA">
        <w:rPr>
          <w:rFonts w:cs="Arial"/>
        </w:rPr>
        <w:t>eople</w:t>
      </w:r>
      <w:r w:rsidRPr="00DB61AA">
        <w:rPr>
          <w:rFonts w:cs="Arial"/>
          <w:sz w:val="40"/>
        </w:rPr>
        <w:t xml:space="preserve"> </w:t>
      </w:r>
      <w:r w:rsidRPr="00B2525C">
        <w:rPr>
          <w:rFonts w:cs="Arial"/>
        </w:rPr>
        <w:t>are the Traditional Custodians of Moonee Valley and have over 40,000 years of connection to the area</w:t>
      </w:r>
      <w:r w:rsidR="009D0AEA" w:rsidRPr="00B2525C">
        <w:rPr>
          <w:rFonts w:cs="Arial"/>
        </w:rPr>
        <w:t>. For thousands of years they ha</w:t>
      </w:r>
      <w:r w:rsidR="002145A7" w:rsidRPr="00B2525C">
        <w:rPr>
          <w:rFonts w:cs="Arial"/>
        </w:rPr>
        <w:t>v</w:t>
      </w:r>
      <w:r w:rsidR="009D0AEA" w:rsidRPr="00B2525C">
        <w:rPr>
          <w:rFonts w:cs="Arial"/>
        </w:rPr>
        <w:t>e cared for the land and waterways and this area known as the Kulin Nation</w:t>
      </w:r>
      <w:r w:rsidR="0029000B" w:rsidRPr="00B2525C">
        <w:rPr>
          <w:rFonts w:cs="Arial"/>
        </w:rPr>
        <w:t xml:space="preserve"> </w:t>
      </w:r>
      <w:r w:rsidR="009D0AEA" w:rsidRPr="00B2525C">
        <w:rPr>
          <w:rFonts w:cs="Arial"/>
        </w:rPr>
        <w:t>has on</w:t>
      </w:r>
      <w:r w:rsidR="002145A7" w:rsidRPr="00B2525C">
        <w:rPr>
          <w:rFonts w:cs="Arial"/>
        </w:rPr>
        <w:t>go</w:t>
      </w:r>
      <w:r w:rsidR="009D0AEA" w:rsidRPr="00B2525C">
        <w:rPr>
          <w:rFonts w:cs="Arial"/>
        </w:rPr>
        <w:t xml:space="preserve">ing cultural and spiritual significance. </w:t>
      </w:r>
    </w:p>
    <w:p w14:paraId="7CC143FF" w14:textId="77777777" w:rsidR="00DB61AA" w:rsidRPr="00B2525C" w:rsidRDefault="00DB61AA" w:rsidP="00C85F94">
      <w:pPr>
        <w:spacing w:before="50"/>
        <w:ind w:right="2"/>
        <w:rPr>
          <w:rFonts w:cs="Arial"/>
        </w:rPr>
      </w:pPr>
    </w:p>
    <w:p w14:paraId="1D5A8560" w14:textId="57F8A0D2" w:rsidR="00C162DE" w:rsidRPr="00B2525C" w:rsidRDefault="00775DC4" w:rsidP="00C162DE">
      <w:pPr>
        <w:rPr>
          <w:rFonts w:cs="Arial"/>
          <w:lang w:eastAsia="en-AU"/>
        </w:rPr>
      </w:pPr>
      <w:r w:rsidRPr="00B2525C">
        <w:rPr>
          <w:rFonts w:cs="Arial"/>
        </w:rPr>
        <w:t xml:space="preserve">The City of Moonee Valley is located in the inner </w:t>
      </w:r>
      <w:r w:rsidR="001C75EE" w:rsidRPr="00B2525C">
        <w:rPr>
          <w:rFonts w:cs="Arial"/>
        </w:rPr>
        <w:t>metropolitan</w:t>
      </w:r>
      <w:r w:rsidR="00FC07AA" w:rsidRPr="00B2525C">
        <w:rPr>
          <w:rFonts w:cs="Arial"/>
        </w:rPr>
        <w:t xml:space="preserve"> </w:t>
      </w:r>
      <w:r w:rsidRPr="00B2525C">
        <w:rPr>
          <w:rFonts w:cs="Arial"/>
        </w:rPr>
        <w:t xml:space="preserve">suburbs of Melbourne, between 4 – 13 kilometres from the Melbourne Central Business District (CBD). </w:t>
      </w:r>
      <w:r w:rsidR="00C162DE" w:rsidRPr="00B2525C">
        <w:rPr>
          <w:rFonts w:cs="Arial"/>
        </w:rPr>
        <w:t>The city covers 43 square kilometres and encompasses the suburbs of Aberfeldie, Airport West, Ascot Vale, Avondale Heights, Essendon, Essendon North, Essendon West, Flemington, Keilor East, Moonee Ponds, Niddrie, Strathmore, Strathmore Heights, Travancore, and Essendon Fields</w:t>
      </w:r>
      <w:r w:rsidR="00A878D8">
        <w:rPr>
          <w:rStyle w:val="FootnoteReference"/>
          <w:rFonts w:cs="Arial"/>
        </w:rPr>
        <w:footnoteReference w:id="1"/>
      </w:r>
      <w:r w:rsidR="00C162DE" w:rsidRPr="00B2525C">
        <w:rPr>
          <w:rFonts w:cs="Arial"/>
        </w:rPr>
        <w:t xml:space="preserve">. </w:t>
      </w:r>
      <w:r w:rsidR="00C162DE" w:rsidRPr="00B2525C">
        <w:rPr>
          <w:rFonts w:cs="Arial"/>
          <w:lang w:eastAsia="en-AU"/>
        </w:rPr>
        <w:t xml:space="preserve">Moonee Valley is </w:t>
      </w:r>
      <w:r w:rsidR="00C005FF" w:rsidRPr="00B2525C">
        <w:rPr>
          <w:rFonts w:cs="Arial"/>
          <w:lang w:eastAsia="en-AU"/>
        </w:rPr>
        <w:t xml:space="preserve">an </w:t>
      </w:r>
      <w:r w:rsidR="00C162DE" w:rsidRPr="00B2525C">
        <w:rPr>
          <w:rFonts w:cs="Arial"/>
          <w:lang w:eastAsia="en-AU"/>
        </w:rPr>
        <w:t xml:space="preserve">established residential municipality. Complementing its residential areas is </w:t>
      </w:r>
      <w:r w:rsidR="003B068E" w:rsidRPr="00B2525C">
        <w:rPr>
          <w:rFonts w:cs="Arial"/>
          <w:lang w:eastAsia="en-AU"/>
        </w:rPr>
        <w:t>a</w:t>
      </w:r>
      <w:r w:rsidR="00C162DE" w:rsidRPr="00B2525C">
        <w:rPr>
          <w:rFonts w:cs="Arial"/>
          <w:lang w:eastAsia="en-AU"/>
        </w:rPr>
        <w:t xml:space="preserve"> mix of retail strips and centres, combined with offices, some industrial areas and Essendon Airport (Replan, 2021).</w:t>
      </w:r>
    </w:p>
    <w:p w14:paraId="776090DF" w14:textId="17560245" w:rsidR="007D0646" w:rsidRDefault="007D0646" w:rsidP="007D0646">
      <w:pPr>
        <w:pStyle w:val="Caption"/>
        <w:rPr>
          <w:i w:val="0"/>
          <w:sz w:val="22"/>
          <w:szCs w:val="22"/>
        </w:rPr>
      </w:pPr>
    </w:p>
    <w:p w14:paraId="59A1D4F3" w14:textId="54E41311" w:rsidR="00D73B12" w:rsidRDefault="00D73B12" w:rsidP="00D73B12">
      <w:r>
        <w:br w:type="page"/>
      </w:r>
    </w:p>
    <w:p w14:paraId="4CBC46B8" w14:textId="77777777" w:rsidR="00D73B12" w:rsidRPr="00D73B12" w:rsidRDefault="00D73B12" w:rsidP="00D73B12"/>
    <w:p w14:paraId="2F97794C" w14:textId="6AE84228" w:rsidR="00540EEB" w:rsidRPr="007D0646" w:rsidRDefault="00540EEB" w:rsidP="007D0646">
      <w:pPr>
        <w:pStyle w:val="Caption"/>
        <w:rPr>
          <w:i w:val="0"/>
          <w:color w:val="000000" w:themeColor="text1"/>
          <w:sz w:val="22"/>
          <w:szCs w:val="22"/>
        </w:rPr>
      </w:pPr>
      <w:r w:rsidRPr="003C2739">
        <w:rPr>
          <w:b/>
          <w:i w:val="0"/>
          <w:color w:val="000000" w:themeColor="text1"/>
          <w:sz w:val="22"/>
          <w:szCs w:val="22"/>
        </w:rPr>
        <w:t xml:space="preserve">Figure </w:t>
      </w:r>
      <w:r w:rsidR="00B93B84" w:rsidRPr="003C2739">
        <w:rPr>
          <w:b/>
          <w:i w:val="0"/>
          <w:color w:val="000000" w:themeColor="text1"/>
          <w:sz w:val="22"/>
          <w:szCs w:val="22"/>
        </w:rPr>
        <w:t>4</w:t>
      </w:r>
      <w:r w:rsidR="003C2739">
        <w:rPr>
          <w:i w:val="0"/>
          <w:color w:val="000000" w:themeColor="text1"/>
          <w:sz w:val="22"/>
          <w:szCs w:val="22"/>
        </w:rPr>
        <w:t>:</w:t>
      </w:r>
      <w:r w:rsidRPr="007D0646">
        <w:rPr>
          <w:i w:val="0"/>
          <w:color w:val="000000" w:themeColor="text1"/>
          <w:sz w:val="22"/>
          <w:szCs w:val="22"/>
        </w:rPr>
        <w:t xml:space="preserve"> Locality Moonee Valley LGA</w:t>
      </w:r>
    </w:p>
    <w:p w14:paraId="12A4E60B" w14:textId="38C81DF8" w:rsidR="00D73B12" w:rsidRDefault="00540EEB" w:rsidP="00116EEC">
      <w:pPr>
        <w:jc w:val="center"/>
        <w:rPr>
          <w:rFonts w:cs="Arial"/>
          <w:lang w:eastAsia="en-AU"/>
        </w:rPr>
      </w:pPr>
      <w:r>
        <w:rPr>
          <w:noProof/>
        </w:rPr>
        <w:drawing>
          <wp:inline distT="0" distB="0" distL="0" distR="0" wp14:anchorId="72527BB6" wp14:editId="63651AF5">
            <wp:extent cx="6069724" cy="60697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0 Localit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0943" cy="6080943"/>
                    </a:xfrm>
                    <a:prstGeom prst="rect">
                      <a:avLst/>
                    </a:prstGeom>
                  </pic:spPr>
                </pic:pic>
              </a:graphicData>
            </a:graphic>
          </wp:inline>
        </w:drawing>
      </w:r>
    </w:p>
    <w:p w14:paraId="0B7302E6" w14:textId="77777777" w:rsidR="00D73B12" w:rsidRDefault="00D73B12" w:rsidP="00C162DE">
      <w:pPr>
        <w:rPr>
          <w:rFonts w:cs="Arial"/>
        </w:rPr>
      </w:pPr>
    </w:p>
    <w:p w14:paraId="62E434E9" w14:textId="5B19E4FF" w:rsidR="00CF637D" w:rsidRPr="00B2525C" w:rsidRDefault="00836EFF" w:rsidP="00C162DE">
      <w:pPr>
        <w:rPr>
          <w:rFonts w:cs="Arial"/>
        </w:rPr>
      </w:pPr>
      <w:r w:rsidRPr="00B2525C">
        <w:rPr>
          <w:rFonts w:cs="Arial"/>
        </w:rPr>
        <w:t>Council is moving to a neighbourhood planning approach</w:t>
      </w:r>
      <w:r w:rsidR="004021F4" w:rsidRPr="00B2525C">
        <w:rPr>
          <w:rFonts w:cs="Arial"/>
        </w:rPr>
        <w:t xml:space="preserve"> guided by Plan Melbourne 2017-2050. </w:t>
      </w:r>
      <w:r w:rsidRPr="00B2525C">
        <w:rPr>
          <w:rFonts w:cs="Arial"/>
        </w:rPr>
        <w:t>Plan Melbourne 2017-2050</w:t>
      </w:r>
      <w:r w:rsidR="003B068E" w:rsidRPr="00B2525C">
        <w:rPr>
          <w:rFonts w:cs="Arial"/>
        </w:rPr>
        <w:t>,</w:t>
      </w:r>
      <w:r w:rsidRPr="00B2525C">
        <w:rPr>
          <w:rFonts w:cs="Arial"/>
        </w:rPr>
        <w:t xml:space="preserve"> focuses on improving Melbourne’s health and liveability through the creation of 20-minute neighbourhood</w:t>
      </w:r>
      <w:r w:rsidR="004021F4" w:rsidRPr="00B2525C">
        <w:rPr>
          <w:rFonts w:cs="Arial"/>
        </w:rPr>
        <w:t>.</w:t>
      </w:r>
      <w:r w:rsidRPr="00B2525C">
        <w:rPr>
          <w:rFonts w:cs="Arial"/>
          <w:lang w:eastAsia="en-AU"/>
        </w:rPr>
        <w:t xml:space="preserve"> </w:t>
      </w:r>
      <w:r w:rsidR="003B068E" w:rsidRPr="00B2525C">
        <w:rPr>
          <w:rFonts w:cs="Arial"/>
          <w:lang w:eastAsia="en-AU"/>
        </w:rPr>
        <w:t xml:space="preserve">In line with this plan, </w:t>
      </w:r>
      <w:r w:rsidR="004021F4" w:rsidRPr="00B2525C">
        <w:rPr>
          <w:rFonts w:cs="Arial"/>
          <w:lang w:eastAsia="en-AU"/>
        </w:rPr>
        <w:t xml:space="preserve">Moonee Valley City Council </w:t>
      </w:r>
      <w:r w:rsidR="003B068E" w:rsidRPr="00B2525C">
        <w:rPr>
          <w:rFonts w:cs="Arial"/>
          <w:lang w:eastAsia="en-AU"/>
        </w:rPr>
        <w:t>is focussing on</w:t>
      </w:r>
      <w:r w:rsidR="001E1DF4" w:rsidRPr="00B2525C">
        <w:rPr>
          <w:rFonts w:cs="Arial"/>
          <w:lang w:eastAsia="en-AU"/>
        </w:rPr>
        <w:t xml:space="preserve"> </w:t>
      </w:r>
      <w:r w:rsidR="001E1DF4" w:rsidRPr="00B2525C">
        <w:rPr>
          <w:rFonts w:cs="Arial"/>
        </w:rPr>
        <w:t xml:space="preserve">13 neighbourhood locations. </w:t>
      </w:r>
      <w:r w:rsidRPr="00B2525C">
        <w:rPr>
          <w:rFonts w:cs="Arial"/>
        </w:rPr>
        <w:t xml:space="preserve">Each of </w:t>
      </w:r>
      <w:r w:rsidR="003B068E" w:rsidRPr="00B2525C">
        <w:rPr>
          <w:rFonts w:cs="Arial"/>
        </w:rPr>
        <w:t xml:space="preserve">the </w:t>
      </w:r>
      <w:r w:rsidRPr="00B2525C">
        <w:rPr>
          <w:rFonts w:cs="Arial"/>
        </w:rPr>
        <w:t xml:space="preserve">13 neighbourhoods has a distinctive character and identity, with individual challenges and opportunities for improving </w:t>
      </w:r>
      <w:r w:rsidR="003B068E" w:rsidRPr="00B2525C">
        <w:rPr>
          <w:rFonts w:cs="Arial"/>
        </w:rPr>
        <w:t>health and wellbeing</w:t>
      </w:r>
      <w:r w:rsidRPr="00B2525C">
        <w:rPr>
          <w:rFonts w:cs="Arial"/>
        </w:rPr>
        <w:t xml:space="preserve">. </w:t>
      </w:r>
      <w:r w:rsidR="003B068E" w:rsidRPr="00B2525C">
        <w:rPr>
          <w:rFonts w:cs="Arial"/>
        </w:rPr>
        <w:t>T</w:t>
      </w:r>
      <w:r w:rsidRPr="00B2525C">
        <w:rPr>
          <w:rFonts w:cs="Arial"/>
        </w:rPr>
        <w:t xml:space="preserve">he benefit of neighbourhood planning is </w:t>
      </w:r>
      <w:r w:rsidR="003B068E" w:rsidRPr="00B2525C">
        <w:rPr>
          <w:rFonts w:cs="Arial"/>
        </w:rPr>
        <w:t>to identify</w:t>
      </w:r>
      <w:r w:rsidRPr="00B2525C">
        <w:rPr>
          <w:rFonts w:cs="Arial"/>
        </w:rPr>
        <w:t xml:space="preserve"> local priorities and tailor responses</w:t>
      </w:r>
      <w:r w:rsidR="003B068E" w:rsidRPr="00B2525C">
        <w:rPr>
          <w:rFonts w:cs="Arial"/>
        </w:rPr>
        <w:t>.</w:t>
      </w:r>
      <w:r w:rsidR="00A878D8">
        <w:rPr>
          <w:rFonts w:cs="Arial"/>
        </w:rPr>
        <w:t xml:space="preserve"> </w:t>
      </w:r>
      <w:r w:rsidR="00CF637D" w:rsidRPr="00B2525C">
        <w:rPr>
          <w:rFonts w:cs="Arial"/>
        </w:rPr>
        <w:t xml:space="preserve">The boundaries of the </w:t>
      </w:r>
      <w:r w:rsidR="006C251E" w:rsidRPr="00B2525C">
        <w:rPr>
          <w:rFonts w:cs="Arial"/>
        </w:rPr>
        <w:t xml:space="preserve">Moonee Valley’s </w:t>
      </w:r>
      <w:r w:rsidR="00CF637D" w:rsidRPr="00B2525C">
        <w:rPr>
          <w:rFonts w:cs="Arial"/>
        </w:rPr>
        <w:t xml:space="preserve">neighbourhood locations differ slightly to suburb, postcode and Australian census district boundaries. Some of the data in this Health Profile will relate to suburb, and others to neighbourhood. This will be clearly </w:t>
      </w:r>
      <w:r w:rsidR="006C251E" w:rsidRPr="00B2525C">
        <w:rPr>
          <w:rFonts w:cs="Arial"/>
        </w:rPr>
        <w:t xml:space="preserve">stated to avoid confusion. </w:t>
      </w:r>
    </w:p>
    <w:p w14:paraId="0D3DA8BE" w14:textId="3B3081F9" w:rsidR="00540EEB" w:rsidRPr="003C2739" w:rsidRDefault="00540EEB" w:rsidP="003C2739">
      <w:pPr>
        <w:pStyle w:val="Caption"/>
        <w:rPr>
          <w:i w:val="0"/>
          <w:color w:val="000000" w:themeColor="text1"/>
          <w:sz w:val="22"/>
          <w:szCs w:val="22"/>
        </w:rPr>
      </w:pPr>
      <w:r w:rsidRPr="003C2739">
        <w:rPr>
          <w:b/>
          <w:i w:val="0"/>
          <w:color w:val="000000" w:themeColor="text1"/>
          <w:sz w:val="22"/>
          <w:szCs w:val="22"/>
        </w:rPr>
        <w:lastRenderedPageBreak/>
        <w:t xml:space="preserve">Figure </w:t>
      </w:r>
      <w:r w:rsidR="00B93B84" w:rsidRPr="003C2739">
        <w:rPr>
          <w:b/>
          <w:i w:val="0"/>
          <w:color w:val="000000" w:themeColor="text1"/>
          <w:sz w:val="22"/>
          <w:szCs w:val="22"/>
        </w:rPr>
        <w:t>5</w:t>
      </w:r>
      <w:r w:rsidR="003C2739" w:rsidRPr="003C2739">
        <w:rPr>
          <w:b/>
          <w:i w:val="0"/>
          <w:color w:val="000000" w:themeColor="text1"/>
          <w:sz w:val="22"/>
          <w:szCs w:val="22"/>
        </w:rPr>
        <w:t>:</w:t>
      </w:r>
      <w:r w:rsidR="003C2739" w:rsidRPr="003C2739">
        <w:rPr>
          <w:i w:val="0"/>
          <w:color w:val="000000" w:themeColor="text1"/>
          <w:sz w:val="22"/>
          <w:szCs w:val="22"/>
        </w:rPr>
        <w:t xml:space="preserve"> </w:t>
      </w:r>
      <w:r w:rsidRPr="003C2739">
        <w:rPr>
          <w:i w:val="0"/>
          <w:color w:val="000000" w:themeColor="text1"/>
          <w:sz w:val="22"/>
          <w:szCs w:val="22"/>
        </w:rPr>
        <w:t>Suburbs of Moonee Valley LGA</w:t>
      </w:r>
    </w:p>
    <w:p w14:paraId="5C065252" w14:textId="6CF4B507" w:rsidR="00540EEB" w:rsidRDefault="00540EEB" w:rsidP="00116EEC">
      <w:pPr>
        <w:jc w:val="center"/>
      </w:pPr>
      <w:r>
        <w:rPr>
          <w:noProof/>
        </w:rPr>
        <w:drawing>
          <wp:inline distT="0" distB="0" distL="0" distR="0" wp14:anchorId="3C55EB96" wp14:editId="2F881469">
            <wp:extent cx="3941379" cy="39413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2 Subur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6663" cy="3976663"/>
                    </a:xfrm>
                    <a:prstGeom prst="rect">
                      <a:avLst/>
                    </a:prstGeom>
                  </pic:spPr>
                </pic:pic>
              </a:graphicData>
            </a:graphic>
          </wp:inline>
        </w:drawing>
      </w:r>
    </w:p>
    <w:p w14:paraId="2E391CF2" w14:textId="5F31347A" w:rsidR="00540EEB" w:rsidRPr="003C2739" w:rsidRDefault="00540EEB" w:rsidP="003C2739">
      <w:pPr>
        <w:pStyle w:val="Caption"/>
        <w:rPr>
          <w:i w:val="0"/>
          <w:color w:val="auto"/>
          <w:sz w:val="22"/>
          <w:szCs w:val="22"/>
        </w:rPr>
      </w:pPr>
      <w:r w:rsidRPr="003C2739">
        <w:rPr>
          <w:b/>
          <w:i w:val="0"/>
          <w:color w:val="auto"/>
          <w:sz w:val="22"/>
          <w:szCs w:val="22"/>
        </w:rPr>
        <w:t xml:space="preserve">Figure </w:t>
      </w:r>
      <w:r w:rsidR="00B93B84" w:rsidRPr="003C2739">
        <w:rPr>
          <w:b/>
          <w:i w:val="0"/>
          <w:color w:val="auto"/>
          <w:sz w:val="22"/>
          <w:szCs w:val="22"/>
        </w:rPr>
        <w:t>6</w:t>
      </w:r>
      <w:r w:rsidR="003C2739" w:rsidRPr="003C2739">
        <w:rPr>
          <w:b/>
          <w:i w:val="0"/>
          <w:color w:val="auto"/>
          <w:sz w:val="22"/>
          <w:szCs w:val="22"/>
        </w:rPr>
        <w:t>:</w:t>
      </w:r>
      <w:r w:rsidR="003C2739">
        <w:rPr>
          <w:i w:val="0"/>
          <w:color w:val="auto"/>
          <w:sz w:val="22"/>
          <w:szCs w:val="22"/>
        </w:rPr>
        <w:t xml:space="preserve"> </w:t>
      </w:r>
      <w:r w:rsidRPr="003C2739">
        <w:rPr>
          <w:i w:val="0"/>
          <w:color w:val="auto"/>
          <w:sz w:val="22"/>
          <w:szCs w:val="22"/>
        </w:rPr>
        <w:t>Neighbourhood catchments of Moonee Valley LGA</w:t>
      </w:r>
    </w:p>
    <w:p w14:paraId="2FB8A87F" w14:textId="5EF92252" w:rsidR="00644CA0" w:rsidRDefault="00540EEB" w:rsidP="00116EEC">
      <w:pPr>
        <w:jc w:val="center"/>
      </w:pPr>
      <w:r>
        <w:rPr>
          <w:noProof/>
        </w:rPr>
        <w:drawing>
          <wp:inline distT="0" distB="0" distL="0" distR="0" wp14:anchorId="4BB80A21" wp14:editId="5B97D8E1">
            <wp:extent cx="4130565" cy="41305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03 Nhoo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88912" cy="4188912"/>
                    </a:xfrm>
                    <a:prstGeom prst="rect">
                      <a:avLst/>
                    </a:prstGeom>
                  </pic:spPr>
                </pic:pic>
              </a:graphicData>
            </a:graphic>
          </wp:inline>
        </w:drawing>
      </w:r>
    </w:p>
    <w:p w14:paraId="16A68FB0" w14:textId="1283BF63" w:rsidR="00D73B12" w:rsidRDefault="00D73B12" w:rsidP="003C2739"/>
    <w:p w14:paraId="0C1DF89D" w14:textId="77777777" w:rsidR="00D73B12" w:rsidRPr="003C2739" w:rsidRDefault="00D73B12" w:rsidP="003C2739"/>
    <w:p w14:paraId="5A24D24C" w14:textId="1BC7DF4F" w:rsidR="00BE2883" w:rsidRPr="00263A11" w:rsidRDefault="00594EFD" w:rsidP="00A3456D">
      <w:pPr>
        <w:pStyle w:val="Heading1"/>
        <w:numPr>
          <w:ilvl w:val="0"/>
          <w:numId w:val="20"/>
        </w:numPr>
        <w:ind w:left="360"/>
        <w:rPr>
          <w:rFonts w:cs="Arial"/>
        </w:rPr>
      </w:pPr>
      <w:bookmarkStart w:id="17" w:name="_Toc80014165"/>
      <w:r w:rsidRPr="00263A11">
        <w:rPr>
          <w:rFonts w:cs="Arial"/>
        </w:rPr>
        <w:t xml:space="preserve">Our </w:t>
      </w:r>
      <w:r w:rsidR="00E37EA5" w:rsidRPr="00263A11">
        <w:rPr>
          <w:rFonts w:cs="Arial"/>
        </w:rPr>
        <w:t>p</w:t>
      </w:r>
      <w:r w:rsidRPr="00263A11">
        <w:rPr>
          <w:rFonts w:cs="Arial"/>
        </w:rPr>
        <w:t>eople</w:t>
      </w:r>
      <w:bookmarkEnd w:id="17"/>
      <w:r w:rsidR="00FD0B36" w:rsidRPr="00263A11">
        <w:rPr>
          <w:rFonts w:cs="Arial"/>
        </w:rPr>
        <w:t xml:space="preserve"> </w:t>
      </w:r>
      <w:bookmarkEnd w:id="16"/>
    </w:p>
    <w:p w14:paraId="51A4965C" w14:textId="77777777" w:rsidR="00263A11" w:rsidRPr="00263A11" w:rsidRDefault="00263A11" w:rsidP="00263A11"/>
    <w:p w14:paraId="32291EB7" w14:textId="77777777" w:rsidR="00D9153D" w:rsidRPr="00B2525C" w:rsidRDefault="00D9153D" w:rsidP="00570769">
      <w:pPr>
        <w:ind w:left="360"/>
        <w:rPr>
          <w:rFonts w:cs="Arial"/>
          <w:b/>
        </w:rPr>
      </w:pPr>
      <w:r w:rsidRPr="00B2525C">
        <w:rPr>
          <w:rFonts w:cs="Arial"/>
          <w:b/>
        </w:rPr>
        <w:t xml:space="preserve">Key points: </w:t>
      </w:r>
    </w:p>
    <w:p w14:paraId="6E8C1D68" w14:textId="370B447D" w:rsidR="00E55A31" w:rsidRPr="00263A11" w:rsidRDefault="00E55A31" w:rsidP="00BE2883">
      <w:pPr>
        <w:pStyle w:val="ListParagraph"/>
        <w:numPr>
          <w:ilvl w:val="0"/>
          <w:numId w:val="9"/>
        </w:numPr>
        <w:pBdr>
          <w:top w:val="single" w:sz="4" w:space="1" w:color="auto"/>
          <w:bottom w:val="single" w:sz="4" w:space="1" w:color="auto"/>
        </w:pBdr>
        <w:spacing w:line="360" w:lineRule="auto"/>
        <w:rPr>
          <w:rFonts w:ascii="Circular Std Book" w:hAnsi="Circular Std Book" w:cs="Circular Std Book"/>
        </w:rPr>
      </w:pPr>
      <w:r w:rsidRPr="00263A11">
        <w:rPr>
          <w:rFonts w:ascii="Circular Std Book" w:hAnsi="Circular Std Book" w:cs="Circular Std Book"/>
        </w:rPr>
        <w:t xml:space="preserve">Moonee Valley </w:t>
      </w:r>
      <w:r w:rsidR="0017290D" w:rsidRPr="00263A11">
        <w:rPr>
          <w:rFonts w:ascii="Circular Std Book" w:hAnsi="Circular Std Book" w:cs="Circular Std Book"/>
        </w:rPr>
        <w:t xml:space="preserve">City Council </w:t>
      </w:r>
      <w:r w:rsidRPr="00263A11">
        <w:rPr>
          <w:rFonts w:ascii="Circular Std Book" w:hAnsi="Circular Std Book" w:cs="Circular Std Book"/>
        </w:rPr>
        <w:t xml:space="preserve">has an </w:t>
      </w:r>
      <w:r w:rsidR="000E431C" w:rsidRPr="00263A11">
        <w:rPr>
          <w:rFonts w:ascii="Circular Std Book" w:hAnsi="Circular Std Book" w:cs="Circular Std Book"/>
        </w:rPr>
        <w:t>a</w:t>
      </w:r>
      <w:r w:rsidRPr="00263A11">
        <w:rPr>
          <w:rFonts w:ascii="Circular Std Book" w:hAnsi="Circular Std Book" w:cs="Circular Std Book"/>
        </w:rPr>
        <w:t>geing population. The greatest projected growth</w:t>
      </w:r>
      <w:r w:rsidR="0029000B" w:rsidRPr="00263A11">
        <w:rPr>
          <w:rFonts w:ascii="Circular Std Book" w:hAnsi="Circular Std Book" w:cs="Circular Std Book"/>
        </w:rPr>
        <w:t xml:space="preserve"> </w:t>
      </w:r>
      <w:r w:rsidRPr="00263A11">
        <w:rPr>
          <w:rFonts w:ascii="Circular Std Book" w:hAnsi="Circular Std Book" w:cs="Circular Std Book"/>
        </w:rPr>
        <w:t>is</w:t>
      </w:r>
      <w:r w:rsidR="0029000B" w:rsidRPr="00263A11">
        <w:rPr>
          <w:rFonts w:ascii="Circular Std Book" w:hAnsi="Circular Std Book" w:cs="Circular Std Book"/>
        </w:rPr>
        <w:t xml:space="preserve"> </w:t>
      </w:r>
      <w:r w:rsidRPr="00263A11">
        <w:rPr>
          <w:rFonts w:ascii="Circular Std Book" w:hAnsi="Circular Std Book" w:cs="Circular Std Book"/>
        </w:rPr>
        <w:t>among the</w:t>
      </w:r>
      <w:r w:rsidRPr="00263A11">
        <w:rPr>
          <w:rFonts w:ascii="Circular Std Book" w:hAnsi="Circular Std Book" w:cs="Circular Std Book"/>
          <w:i/>
          <w:iCs/>
        </w:rPr>
        <w:t xml:space="preserve"> 80 + age group</w:t>
      </w:r>
      <w:r w:rsidRPr="00263A11">
        <w:rPr>
          <w:rFonts w:ascii="Circular Std Book" w:hAnsi="Circular Std Book" w:cs="Circular Std Book"/>
        </w:rPr>
        <w:t xml:space="preserve"> (up 71.3</w:t>
      </w:r>
      <w:r w:rsidR="0017290D" w:rsidRPr="00263A11">
        <w:rPr>
          <w:rFonts w:ascii="Circular Std Book" w:hAnsi="Circular Std Book" w:cs="Circular Std Book"/>
        </w:rPr>
        <w:t xml:space="preserve"> per cent</w:t>
      </w:r>
      <w:r w:rsidRPr="00263A11">
        <w:rPr>
          <w:rFonts w:ascii="Circular Std Book" w:hAnsi="Circular Std Book" w:cs="Circular Std Book"/>
        </w:rPr>
        <w:t xml:space="preserve"> from 6,905 people in 2016 to 11,951 people in </w:t>
      </w:r>
      <w:proofErr w:type="gramStart"/>
      <w:r w:rsidRPr="00263A11">
        <w:rPr>
          <w:rFonts w:ascii="Circular Std Book" w:hAnsi="Circular Std Book" w:cs="Circular Std Book"/>
        </w:rPr>
        <w:t>2041 )</w:t>
      </w:r>
      <w:proofErr w:type="gramEnd"/>
      <w:r w:rsidRPr="00263A11">
        <w:rPr>
          <w:rFonts w:ascii="Circular Std Book" w:hAnsi="Circular Std Book" w:cs="Circular Std Book"/>
        </w:rPr>
        <w:t xml:space="preserve"> and </w:t>
      </w:r>
      <w:r w:rsidR="005F2779" w:rsidRPr="00263A11">
        <w:rPr>
          <w:rFonts w:ascii="Circular Std Book" w:hAnsi="Circular Std Book" w:cs="Circular Std Book"/>
        </w:rPr>
        <w:t xml:space="preserve">are </w:t>
      </w:r>
      <w:r w:rsidRPr="00263A11">
        <w:rPr>
          <w:rFonts w:ascii="Circular Std Book" w:hAnsi="Circular Std Book" w:cs="Circular Std Book"/>
        </w:rPr>
        <w:t>most likely to live in</w:t>
      </w:r>
      <w:r w:rsidR="006D2009">
        <w:rPr>
          <w:rFonts w:ascii="Circular Std Book" w:hAnsi="Circular Std Book" w:cs="Circular Std Book"/>
        </w:rPr>
        <w:t xml:space="preserve"> the</w:t>
      </w:r>
      <w:r w:rsidRPr="00263A11">
        <w:rPr>
          <w:rFonts w:ascii="Circular Std Book" w:hAnsi="Circular Std Book" w:cs="Circular Std Book"/>
        </w:rPr>
        <w:t xml:space="preserve"> </w:t>
      </w:r>
      <w:r w:rsidRPr="00263A11">
        <w:rPr>
          <w:rFonts w:ascii="Circular Std Book" w:hAnsi="Circular Std Book" w:cs="Circular Std Book"/>
          <w:i/>
          <w:iCs/>
        </w:rPr>
        <w:t>Keilor East</w:t>
      </w:r>
      <w:r w:rsidRPr="00263A11">
        <w:rPr>
          <w:rFonts w:ascii="Circular Std Book" w:hAnsi="Circular Std Book" w:cs="Circular Std Book"/>
        </w:rPr>
        <w:t xml:space="preserve"> and </w:t>
      </w:r>
      <w:r w:rsidRPr="00263A11">
        <w:rPr>
          <w:rFonts w:ascii="Circular Std Book" w:hAnsi="Circular Std Book" w:cs="Circular Std Book"/>
          <w:i/>
          <w:iCs/>
        </w:rPr>
        <w:t xml:space="preserve">Milleara </w:t>
      </w:r>
      <w:r w:rsidR="006D2009" w:rsidRPr="00C93841">
        <w:rPr>
          <w:rFonts w:ascii="Circular Std Book" w:hAnsi="Circular Std Book" w:cs="Circular Std Book"/>
          <w:iCs/>
        </w:rPr>
        <w:t>neighbourhoods</w:t>
      </w:r>
    </w:p>
    <w:p w14:paraId="10511133" w14:textId="77777777" w:rsidR="00E55A31" w:rsidRPr="00263A11" w:rsidRDefault="00E55A31" w:rsidP="00BE2883">
      <w:pPr>
        <w:pStyle w:val="ListParagraph"/>
        <w:numPr>
          <w:ilvl w:val="0"/>
          <w:numId w:val="9"/>
        </w:numPr>
        <w:pBdr>
          <w:top w:val="single" w:sz="4" w:space="1" w:color="auto"/>
          <w:bottom w:val="single" w:sz="4" w:space="1" w:color="auto"/>
        </w:pBdr>
        <w:spacing w:line="360" w:lineRule="auto"/>
        <w:rPr>
          <w:rFonts w:ascii="Circular Std Book" w:hAnsi="Circular Std Book" w:cs="Circular Std Book"/>
        </w:rPr>
      </w:pPr>
      <w:r w:rsidRPr="00263A11">
        <w:rPr>
          <w:rFonts w:ascii="Circular Std Book" w:hAnsi="Circular Std Book" w:cs="Circular Std Book"/>
        </w:rPr>
        <w:t xml:space="preserve">The birth rate </w:t>
      </w:r>
      <w:r w:rsidR="0017290D" w:rsidRPr="00263A11">
        <w:rPr>
          <w:rFonts w:ascii="Circular Std Book" w:hAnsi="Circular Std Book" w:cs="Circular Std Book"/>
        </w:rPr>
        <w:t xml:space="preserve">is </w:t>
      </w:r>
      <w:r w:rsidRPr="00263A11">
        <w:rPr>
          <w:rFonts w:ascii="Circular Std Book" w:hAnsi="Circular Std Book" w:cs="Circular Std Book"/>
        </w:rPr>
        <w:t>falling</w:t>
      </w:r>
    </w:p>
    <w:p w14:paraId="110D9318" w14:textId="691250CE" w:rsidR="006D1D67" w:rsidRPr="00263A11" w:rsidRDefault="00B94E8B" w:rsidP="00BE2883">
      <w:pPr>
        <w:pStyle w:val="ListParagraph"/>
        <w:numPr>
          <w:ilvl w:val="0"/>
          <w:numId w:val="9"/>
        </w:numPr>
        <w:pBdr>
          <w:top w:val="single" w:sz="4" w:space="1" w:color="auto"/>
          <w:bottom w:val="single" w:sz="4" w:space="1" w:color="auto"/>
        </w:pBdr>
        <w:spacing w:line="360" w:lineRule="auto"/>
        <w:rPr>
          <w:rFonts w:ascii="Circular Std Book" w:hAnsi="Circular Std Book" w:cs="Circular Std Book"/>
        </w:rPr>
      </w:pPr>
      <w:r w:rsidRPr="00263A11">
        <w:rPr>
          <w:rFonts w:ascii="Circular Std Book" w:hAnsi="Circular Std Book" w:cs="Circular Std Book"/>
        </w:rPr>
        <w:t xml:space="preserve">The municipality enjoys a </w:t>
      </w:r>
      <w:r w:rsidRPr="00263A11">
        <w:rPr>
          <w:rFonts w:ascii="Circular Std Book" w:hAnsi="Circular Std Book" w:cs="Circular Std Book"/>
          <w:i/>
          <w:iCs/>
        </w:rPr>
        <w:t>diverse population</w:t>
      </w:r>
      <w:r w:rsidRPr="00263A11">
        <w:rPr>
          <w:rFonts w:ascii="Circular Std Book" w:hAnsi="Circular Std Book" w:cs="Circular Std Book"/>
        </w:rPr>
        <w:t xml:space="preserve">, with almost a </w:t>
      </w:r>
      <w:r w:rsidR="0017290D" w:rsidRPr="00263A11">
        <w:rPr>
          <w:rFonts w:ascii="Circular Std Book" w:hAnsi="Circular Std Book" w:cs="Circular Std Book"/>
        </w:rPr>
        <w:t>third</w:t>
      </w:r>
      <w:r w:rsidRPr="00263A11">
        <w:rPr>
          <w:rFonts w:ascii="Circular Std Book" w:hAnsi="Circular Std Book" w:cs="Circular Std Book"/>
        </w:rPr>
        <w:t xml:space="preserve"> of residents </w:t>
      </w:r>
      <w:r w:rsidR="0017290D" w:rsidRPr="00263A11">
        <w:rPr>
          <w:rFonts w:ascii="Circular Std Book" w:hAnsi="Circular Std Book" w:cs="Circular Std Book"/>
        </w:rPr>
        <w:t>speaking</w:t>
      </w:r>
      <w:r w:rsidRPr="00263A11">
        <w:rPr>
          <w:rFonts w:ascii="Circular Std Book" w:hAnsi="Circular Std Book" w:cs="Circular Std Book"/>
        </w:rPr>
        <w:t xml:space="preserve"> non-English </w:t>
      </w:r>
      <w:r w:rsidR="006D2009">
        <w:rPr>
          <w:rFonts w:ascii="Circular Std Book" w:hAnsi="Circular Std Book" w:cs="Circular Std Book"/>
        </w:rPr>
        <w:t>languages</w:t>
      </w:r>
      <w:r w:rsidR="006D2009" w:rsidRPr="00263A11">
        <w:rPr>
          <w:rFonts w:ascii="Circular Std Book" w:hAnsi="Circular Std Book" w:cs="Circular Std Book"/>
        </w:rPr>
        <w:t xml:space="preserve"> </w:t>
      </w:r>
      <w:r w:rsidR="0017290D" w:rsidRPr="00263A11">
        <w:rPr>
          <w:rFonts w:ascii="Circular Std Book" w:hAnsi="Circular Std Book" w:cs="Circular Std Book"/>
        </w:rPr>
        <w:t>at home</w:t>
      </w:r>
      <w:r w:rsidR="000E431C" w:rsidRPr="00263A11">
        <w:rPr>
          <w:rFonts w:ascii="Circular Std Book" w:hAnsi="Circular Std Book" w:cs="Circular Std Book"/>
        </w:rPr>
        <w:t>.</w:t>
      </w:r>
      <w:r w:rsidR="006D1D67" w:rsidRPr="00263A11">
        <w:rPr>
          <w:rFonts w:ascii="Circular Std Book" w:hAnsi="Circular Std Book" w:cs="Circular Std Book"/>
        </w:rPr>
        <w:t xml:space="preserve"> Italian and Greek spoken in North/Eastern parts of Municipality; Arabic and Cantonese spoken in South East (i.e. Flemington)</w:t>
      </w:r>
    </w:p>
    <w:p w14:paraId="50D0B0B9" w14:textId="722BA17F" w:rsidR="00CC3EF2" w:rsidRPr="00263A11" w:rsidRDefault="00B94E8B" w:rsidP="00BE2883">
      <w:pPr>
        <w:pStyle w:val="ListParagraph"/>
        <w:numPr>
          <w:ilvl w:val="0"/>
          <w:numId w:val="9"/>
        </w:numPr>
        <w:pBdr>
          <w:top w:val="single" w:sz="4" w:space="1" w:color="auto"/>
          <w:bottom w:val="single" w:sz="4" w:space="1" w:color="auto"/>
        </w:pBdr>
        <w:spacing w:line="360" w:lineRule="auto"/>
        <w:rPr>
          <w:rFonts w:ascii="Circular Std Book" w:hAnsi="Circular Std Book" w:cs="Circular Std Book"/>
        </w:rPr>
      </w:pPr>
      <w:r w:rsidRPr="00263A11">
        <w:rPr>
          <w:rFonts w:ascii="Circular Std Book" w:hAnsi="Circular Std Book" w:cs="Circular Std Book"/>
        </w:rPr>
        <w:t>0.3 per cent</w:t>
      </w:r>
      <w:r w:rsidR="008E74A8" w:rsidRPr="00263A11">
        <w:rPr>
          <w:rFonts w:ascii="Circular Std Book" w:hAnsi="Circular Std Book" w:cs="Circular Std Book"/>
        </w:rPr>
        <w:t xml:space="preserve"> of M</w:t>
      </w:r>
      <w:r w:rsidR="006D2009">
        <w:rPr>
          <w:rFonts w:ascii="Circular Std Book" w:hAnsi="Circular Std Book" w:cs="Circular Std Book"/>
        </w:rPr>
        <w:t xml:space="preserve">oonee </w:t>
      </w:r>
      <w:r w:rsidR="00E11049" w:rsidRPr="00263A11">
        <w:rPr>
          <w:rFonts w:ascii="Circular Std Book" w:hAnsi="Circular Std Book" w:cs="Circular Std Book"/>
        </w:rPr>
        <w:t>V</w:t>
      </w:r>
      <w:r w:rsidR="006D2009">
        <w:rPr>
          <w:rFonts w:ascii="Circular Std Book" w:hAnsi="Circular Std Book" w:cs="Circular Std Book"/>
        </w:rPr>
        <w:t>alley</w:t>
      </w:r>
      <w:r w:rsidR="00E11049" w:rsidRPr="00263A11">
        <w:rPr>
          <w:rFonts w:ascii="Circular Std Book" w:hAnsi="Circular Std Book" w:cs="Circular Std Book"/>
        </w:rPr>
        <w:t xml:space="preserve"> </w:t>
      </w:r>
      <w:r w:rsidR="008E74A8" w:rsidRPr="00263A11">
        <w:rPr>
          <w:rFonts w:ascii="Circular Std Book" w:hAnsi="Circular Std Book" w:cs="Circular Std Book"/>
        </w:rPr>
        <w:t>residents (430 people) identify as</w:t>
      </w:r>
      <w:r w:rsidRPr="00263A11">
        <w:rPr>
          <w:rFonts w:ascii="Circular Std Book" w:hAnsi="Circular Std Book" w:cs="Circular Std Book"/>
        </w:rPr>
        <w:t xml:space="preserve"> Aboriginal and</w:t>
      </w:r>
      <w:r w:rsidR="008E74A8" w:rsidRPr="00263A11">
        <w:rPr>
          <w:rFonts w:ascii="Circular Std Book" w:hAnsi="Circular Std Book" w:cs="Circular Std Book"/>
        </w:rPr>
        <w:t>/or</w:t>
      </w:r>
      <w:r w:rsidRPr="00263A11">
        <w:rPr>
          <w:rFonts w:ascii="Circular Std Book" w:hAnsi="Circular Std Book" w:cs="Circular Std Book"/>
        </w:rPr>
        <w:t xml:space="preserve"> Torres Strait Islander</w:t>
      </w:r>
      <w:r w:rsidR="006D1D67" w:rsidRPr="00263A11">
        <w:rPr>
          <w:rFonts w:ascii="Circular Std Book" w:hAnsi="Circular Std Book" w:cs="Circular Std Book"/>
        </w:rPr>
        <w:t xml:space="preserve"> </w:t>
      </w:r>
    </w:p>
    <w:p w14:paraId="71187B1A" w14:textId="77777777" w:rsidR="006D1D67" w:rsidRPr="00263A11" w:rsidRDefault="006D1D67" w:rsidP="00BE2883">
      <w:pPr>
        <w:pStyle w:val="ListParagraph"/>
        <w:numPr>
          <w:ilvl w:val="0"/>
          <w:numId w:val="9"/>
        </w:numPr>
        <w:pBdr>
          <w:top w:val="single" w:sz="4" w:space="1" w:color="auto"/>
          <w:bottom w:val="single" w:sz="4" w:space="1" w:color="auto"/>
        </w:pBdr>
        <w:spacing w:line="360" w:lineRule="auto"/>
        <w:rPr>
          <w:rFonts w:ascii="Circular Std Book" w:hAnsi="Circular Std Book" w:cs="Circular Std Book"/>
        </w:rPr>
      </w:pPr>
      <w:r w:rsidRPr="00263A11">
        <w:rPr>
          <w:rFonts w:ascii="Circular Std Book" w:hAnsi="Circular Std Book" w:cs="Circular Std Book"/>
        </w:rPr>
        <w:t xml:space="preserve">Avondale Heights has </w:t>
      </w:r>
      <w:r w:rsidR="005F2779" w:rsidRPr="00263A11">
        <w:rPr>
          <w:rFonts w:ascii="Circular Std Book" w:hAnsi="Circular Std Book" w:cs="Circular Std Book"/>
        </w:rPr>
        <w:t xml:space="preserve">the </w:t>
      </w:r>
      <w:r w:rsidRPr="00263A11">
        <w:rPr>
          <w:rFonts w:ascii="Circular Std Book" w:hAnsi="Circular Std Book" w:cs="Circular Std Book"/>
        </w:rPr>
        <w:t>largest number of Asylum Seekers</w:t>
      </w:r>
    </w:p>
    <w:p w14:paraId="533782BD" w14:textId="77777777" w:rsidR="00E55A31" w:rsidRPr="00263A11" w:rsidRDefault="005F2779" w:rsidP="00BE2883">
      <w:pPr>
        <w:pStyle w:val="ListParagraph"/>
        <w:numPr>
          <w:ilvl w:val="0"/>
          <w:numId w:val="9"/>
        </w:numPr>
        <w:pBdr>
          <w:top w:val="single" w:sz="4" w:space="1" w:color="auto"/>
          <w:bottom w:val="single" w:sz="4" w:space="1" w:color="auto"/>
        </w:pBdr>
        <w:spacing w:line="360" w:lineRule="auto"/>
        <w:rPr>
          <w:rFonts w:ascii="Circular Std Book" w:hAnsi="Circular Std Book" w:cs="Circular Std Book"/>
        </w:rPr>
      </w:pPr>
      <w:r w:rsidRPr="00263A11">
        <w:rPr>
          <w:rFonts w:ascii="Circular Std Book" w:hAnsi="Circular Std Book" w:cs="Circular Std Book"/>
        </w:rPr>
        <w:t>The m</w:t>
      </w:r>
      <w:r w:rsidR="00E55A31" w:rsidRPr="00263A11">
        <w:rPr>
          <w:rFonts w:ascii="Circular Std Book" w:hAnsi="Circular Std Book" w:cs="Circular Std Book"/>
        </w:rPr>
        <w:t xml:space="preserve">ost common household type is couples with children, </w:t>
      </w:r>
      <w:r w:rsidR="0017290D" w:rsidRPr="00263A11">
        <w:rPr>
          <w:rFonts w:ascii="Circular Std Book" w:hAnsi="Circular Std Book" w:cs="Circular Std Book"/>
        </w:rPr>
        <w:t>which</w:t>
      </w:r>
      <w:r w:rsidR="00E55A31" w:rsidRPr="00263A11">
        <w:rPr>
          <w:rFonts w:ascii="Circular Std Book" w:hAnsi="Circular Std Book" w:cs="Circular Std Book"/>
        </w:rPr>
        <w:t xml:space="preserve"> account for approximately 31 per cent of households</w:t>
      </w:r>
    </w:p>
    <w:p w14:paraId="139F74E3" w14:textId="0EDF892A" w:rsidR="00E55A31" w:rsidRPr="00263A11" w:rsidRDefault="00E55A31" w:rsidP="00BE2883">
      <w:pPr>
        <w:pStyle w:val="ListParagraph"/>
        <w:numPr>
          <w:ilvl w:val="0"/>
          <w:numId w:val="9"/>
        </w:numPr>
        <w:pBdr>
          <w:top w:val="single" w:sz="4" w:space="1" w:color="auto"/>
          <w:bottom w:val="single" w:sz="4" w:space="1" w:color="auto"/>
        </w:pBdr>
        <w:spacing w:line="360" w:lineRule="auto"/>
        <w:rPr>
          <w:rFonts w:ascii="Circular Std Book" w:hAnsi="Circular Std Book" w:cs="Circular Std Book"/>
        </w:rPr>
      </w:pPr>
      <w:r w:rsidRPr="00263A11">
        <w:rPr>
          <w:rFonts w:ascii="Circular Std Book" w:hAnsi="Circular Std Book" w:cs="Circular Std Book"/>
        </w:rPr>
        <w:t xml:space="preserve">Population forecasts suggest that between 2016 and 2041 the number of </w:t>
      </w:r>
      <w:r w:rsidRPr="00263A11">
        <w:rPr>
          <w:rFonts w:ascii="Circular Std Book" w:hAnsi="Circular Std Book" w:cs="Circular Std Book"/>
          <w:i/>
          <w:iCs/>
        </w:rPr>
        <w:t>lone person</w:t>
      </w:r>
      <w:r w:rsidRPr="00263A11">
        <w:rPr>
          <w:rFonts w:ascii="Circular Std Book" w:hAnsi="Circular Std Book" w:cs="Circular Std Book"/>
        </w:rPr>
        <w:t xml:space="preserve"> households will increase by 57</w:t>
      </w:r>
      <w:r w:rsidR="006D2009">
        <w:rPr>
          <w:rFonts w:ascii="Circular Std Book" w:hAnsi="Circular Std Book" w:cs="Circular Std Book"/>
        </w:rPr>
        <w:t xml:space="preserve"> </w:t>
      </w:r>
      <w:r w:rsidR="0017290D" w:rsidRPr="00263A11">
        <w:rPr>
          <w:rFonts w:ascii="Circular Std Book" w:hAnsi="Circular Std Book" w:cs="Circular Std Book"/>
        </w:rPr>
        <w:t>per cent</w:t>
      </w:r>
      <w:r w:rsidRPr="00263A11">
        <w:rPr>
          <w:rFonts w:ascii="Circular Std Book" w:hAnsi="Circular Std Book" w:cs="Circular Std Book"/>
        </w:rPr>
        <w:t>, the greatest level of growth of any household type across the municipality</w:t>
      </w:r>
    </w:p>
    <w:p w14:paraId="6753F557" w14:textId="77777777" w:rsidR="00E55A31" w:rsidRPr="00263A11" w:rsidRDefault="00FB37D0" w:rsidP="00BE2883">
      <w:pPr>
        <w:pStyle w:val="ListParagraph"/>
        <w:numPr>
          <w:ilvl w:val="0"/>
          <w:numId w:val="9"/>
        </w:numPr>
        <w:pBdr>
          <w:top w:val="single" w:sz="4" w:space="1" w:color="auto"/>
          <w:bottom w:val="single" w:sz="4" w:space="1" w:color="auto"/>
        </w:pBdr>
        <w:spacing w:line="360" w:lineRule="auto"/>
        <w:rPr>
          <w:rFonts w:ascii="Circular Std Book" w:hAnsi="Circular Std Book" w:cs="Circular Std Book"/>
        </w:rPr>
      </w:pPr>
      <w:r w:rsidRPr="00263A11">
        <w:rPr>
          <w:rFonts w:ascii="Circular Std Book" w:hAnsi="Circular Std Book" w:cs="Circular Std Book"/>
        </w:rPr>
        <w:t>Approximately 5</w:t>
      </w:r>
      <w:r w:rsidR="004021F4" w:rsidRPr="00263A11">
        <w:rPr>
          <w:rFonts w:ascii="Circular Std Book" w:hAnsi="Circular Std Book" w:cs="Circular Std Book"/>
        </w:rPr>
        <w:t xml:space="preserve"> </w:t>
      </w:r>
      <w:r w:rsidR="0017290D" w:rsidRPr="00263A11">
        <w:rPr>
          <w:rFonts w:ascii="Circular Std Book" w:hAnsi="Circular Std Book" w:cs="Circular Std Book"/>
        </w:rPr>
        <w:t>per cent</w:t>
      </w:r>
      <w:r w:rsidRPr="00263A11">
        <w:rPr>
          <w:rFonts w:ascii="Circular Std Book" w:hAnsi="Circular Std Book" w:cs="Circular Std Book"/>
        </w:rPr>
        <w:t xml:space="preserve"> of community dwelling residents live with a </w:t>
      </w:r>
      <w:r w:rsidRPr="00263A11">
        <w:rPr>
          <w:rFonts w:ascii="Circular Std Book" w:hAnsi="Circular Std Book" w:cs="Circular Std Book"/>
          <w:i/>
          <w:iCs/>
        </w:rPr>
        <w:t>disability</w:t>
      </w:r>
      <w:r w:rsidRPr="00263A11">
        <w:rPr>
          <w:rFonts w:ascii="Circular Std Book" w:hAnsi="Circular Std Book" w:cs="Circular Std Book"/>
        </w:rPr>
        <w:t>, with approximately 45</w:t>
      </w:r>
      <w:r w:rsidR="004021F4" w:rsidRPr="00263A11">
        <w:rPr>
          <w:rFonts w:ascii="Circular Std Book" w:hAnsi="Circular Std Book" w:cs="Circular Std Book"/>
        </w:rPr>
        <w:t xml:space="preserve"> </w:t>
      </w:r>
      <w:r w:rsidR="0017290D" w:rsidRPr="00263A11">
        <w:rPr>
          <w:rFonts w:ascii="Circular Std Book" w:hAnsi="Circular Std Book" w:cs="Circular Std Book"/>
        </w:rPr>
        <w:t>per cent</w:t>
      </w:r>
      <w:r w:rsidRPr="00263A11">
        <w:rPr>
          <w:rFonts w:ascii="Circular Std Book" w:hAnsi="Circular Std Book" w:cs="Circular Std Book"/>
        </w:rPr>
        <w:t xml:space="preserve"> of people over the age of 65 living with disability</w:t>
      </w:r>
      <w:r w:rsidR="0017290D" w:rsidRPr="00263A11">
        <w:rPr>
          <w:rFonts w:ascii="Circular Std Book" w:hAnsi="Circular Std Book" w:cs="Circular Std Book"/>
        </w:rPr>
        <w:t>.</w:t>
      </w:r>
      <w:r w:rsidRPr="00263A11">
        <w:rPr>
          <w:rFonts w:ascii="Circular Std Book" w:hAnsi="Circular Std Book" w:cs="Circular Std Book"/>
        </w:rPr>
        <w:t xml:space="preserve"> The </w:t>
      </w:r>
      <w:r w:rsidR="0017290D" w:rsidRPr="00263A11">
        <w:rPr>
          <w:rFonts w:ascii="Circular Std Book" w:hAnsi="Circular Std Book" w:cs="Circular Std Book"/>
        </w:rPr>
        <w:t>di</w:t>
      </w:r>
      <w:r w:rsidRPr="00263A11">
        <w:rPr>
          <w:rFonts w:ascii="Circular Std Book" w:hAnsi="Circular Std Book" w:cs="Circular Std Book"/>
        </w:rPr>
        <w:t xml:space="preserve">sability rate </w:t>
      </w:r>
      <w:r w:rsidR="0017290D" w:rsidRPr="00263A11">
        <w:rPr>
          <w:rFonts w:ascii="Circular Std Book" w:hAnsi="Circular Std Book" w:cs="Circular Std Book"/>
        </w:rPr>
        <w:t xml:space="preserve">is </w:t>
      </w:r>
      <w:r w:rsidRPr="00263A11">
        <w:rPr>
          <w:rFonts w:ascii="Circular Std Book" w:hAnsi="Circular Std Book" w:cs="Circular Std Book"/>
        </w:rPr>
        <w:t>likely to increase in</w:t>
      </w:r>
      <w:r w:rsidR="004021F4" w:rsidRPr="00263A11">
        <w:rPr>
          <w:rFonts w:ascii="Circular Std Book" w:hAnsi="Circular Std Book" w:cs="Circular Std Book"/>
        </w:rPr>
        <w:t>-</w:t>
      </w:r>
      <w:r w:rsidRPr="00263A11">
        <w:rPr>
          <w:rFonts w:ascii="Circular Std Book" w:hAnsi="Circular Std Book" w:cs="Circular Std Book"/>
        </w:rPr>
        <w:t>line with an ageing population</w:t>
      </w:r>
    </w:p>
    <w:p w14:paraId="1AF7F262" w14:textId="77777777" w:rsidR="004021F4" w:rsidRPr="00263A11" w:rsidRDefault="004021F4" w:rsidP="00BE2883">
      <w:pPr>
        <w:pStyle w:val="ListParagraph"/>
        <w:numPr>
          <w:ilvl w:val="0"/>
          <w:numId w:val="9"/>
        </w:numPr>
        <w:pBdr>
          <w:top w:val="single" w:sz="4" w:space="1" w:color="auto"/>
          <w:bottom w:val="single" w:sz="4" w:space="1" w:color="auto"/>
        </w:pBdr>
        <w:spacing w:line="360" w:lineRule="auto"/>
        <w:rPr>
          <w:rFonts w:ascii="Circular Std Book" w:hAnsi="Circular Std Book" w:cs="Circular Std Book"/>
          <w:i/>
          <w:iCs/>
        </w:rPr>
      </w:pPr>
      <w:r w:rsidRPr="00263A11">
        <w:rPr>
          <w:rFonts w:ascii="Circular Std Book" w:hAnsi="Circular Std Book" w:cs="Circular Std Book"/>
        </w:rPr>
        <w:t xml:space="preserve">Approximately 8% of adults identify as </w:t>
      </w:r>
      <w:r w:rsidRPr="00263A11">
        <w:rPr>
          <w:rFonts w:ascii="Circular Std Book" w:hAnsi="Circular Std Book" w:cs="Circular Std Book"/>
          <w:i/>
          <w:iCs/>
        </w:rPr>
        <w:t>LGBTIQA+</w:t>
      </w:r>
    </w:p>
    <w:p w14:paraId="351A6308" w14:textId="77777777" w:rsidR="002145A7" w:rsidRPr="00B2525C" w:rsidRDefault="002145A7" w:rsidP="002145A7">
      <w:pPr>
        <w:rPr>
          <w:rFonts w:cs="Arial"/>
        </w:rPr>
      </w:pPr>
      <w:bookmarkStart w:id="18" w:name="current-and-projected-populations"/>
    </w:p>
    <w:p w14:paraId="5056040B" w14:textId="77777777" w:rsidR="00C16E91" w:rsidRPr="00B2525C" w:rsidRDefault="00C16E91">
      <w:pPr>
        <w:pStyle w:val="Heading2"/>
        <w:rPr>
          <w:rFonts w:cs="Arial"/>
        </w:rPr>
      </w:pPr>
      <w:r w:rsidRPr="00B2525C">
        <w:rPr>
          <w:rFonts w:cs="Arial"/>
        </w:rPr>
        <w:br w:type="page"/>
      </w:r>
    </w:p>
    <w:p w14:paraId="0EE6078B" w14:textId="29ADAB17" w:rsidR="00EC4E90" w:rsidRPr="00B2525C" w:rsidRDefault="00955D79">
      <w:pPr>
        <w:pStyle w:val="Heading2"/>
        <w:rPr>
          <w:rFonts w:cs="Arial"/>
        </w:rPr>
      </w:pPr>
      <w:r w:rsidRPr="00B2525C">
        <w:rPr>
          <w:rFonts w:cs="Arial"/>
        </w:rPr>
        <w:lastRenderedPageBreak/>
        <w:t>Age</w:t>
      </w:r>
      <w:r w:rsidR="001A2017" w:rsidRPr="00B2525C">
        <w:rPr>
          <w:rFonts w:cs="Arial"/>
        </w:rPr>
        <w:t xml:space="preserve"> and </w:t>
      </w:r>
      <w:r w:rsidR="002A53F6" w:rsidRPr="00B2525C">
        <w:rPr>
          <w:rFonts w:cs="Arial"/>
        </w:rPr>
        <w:t>s</w:t>
      </w:r>
      <w:r w:rsidR="001A2017" w:rsidRPr="00B2525C">
        <w:rPr>
          <w:rFonts w:cs="Arial"/>
        </w:rPr>
        <w:t>ex</w:t>
      </w:r>
      <w:r w:rsidRPr="00B2525C">
        <w:rPr>
          <w:rFonts w:cs="Arial"/>
        </w:rPr>
        <w:t xml:space="preserve"> </w:t>
      </w:r>
      <w:r w:rsidR="002A53F6" w:rsidRPr="00B2525C">
        <w:rPr>
          <w:rFonts w:cs="Arial"/>
        </w:rPr>
        <w:t>p</w:t>
      </w:r>
      <w:r w:rsidRPr="00B2525C">
        <w:rPr>
          <w:rFonts w:cs="Arial"/>
        </w:rPr>
        <w:t xml:space="preserve">rofile </w:t>
      </w:r>
      <w:bookmarkEnd w:id="18"/>
    </w:p>
    <w:p w14:paraId="29BC2867" w14:textId="77777777" w:rsidR="00DB61AA" w:rsidRDefault="00DB61AA">
      <w:pPr>
        <w:rPr>
          <w:rFonts w:cs="Arial"/>
        </w:rPr>
      </w:pPr>
      <w:bookmarkStart w:id="19" w:name="age-breakdown"/>
    </w:p>
    <w:p w14:paraId="3266C725" w14:textId="697896EA" w:rsidR="00EC4E90" w:rsidRDefault="00FD0B36">
      <w:pPr>
        <w:rPr>
          <w:rFonts w:cs="Arial"/>
        </w:rPr>
      </w:pPr>
      <w:r w:rsidRPr="00B2525C">
        <w:rPr>
          <w:rFonts w:cs="Arial"/>
        </w:rPr>
        <w:t>On</w:t>
      </w:r>
      <w:r w:rsidR="00813D41" w:rsidRPr="00B2525C">
        <w:rPr>
          <w:rFonts w:cs="Arial"/>
        </w:rPr>
        <w:t xml:space="preserve"> 30 June 2019</w:t>
      </w:r>
      <w:r w:rsidR="0029000B" w:rsidRPr="00B2525C">
        <w:rPr>
          <w:rFonts w:cs="Arial"/>
        </w:rPr>
        <w:t xml:space="preserve"> </w:t>
      </w:r>
      <w:r w:rsidRPr="00B2525C">
        <w:rPr>
          <w:rFonts w:cs="Arial"/>
        </w:rPr>
        <w:t>there were</w:t>
      </w:r>
      <w:r w:rsidR="0029000B" w:rsidRPr="00B2525C">
        <w:rPr>
          <w:rFonts w:cs="Arial"/>
        </w:rPr>
        <w:t xml:space="preserve"> </w:t>
      </w:r>
      <w:r w:rsidR="00EF41D7" w:rsidRPr="00B2525C">
        <w:rPr>
          <w:rFonts w:cs="Arial"/>
        </w:rPr>
        <w:t xml:space="preserve">130,294 </w:t>
      </w:r>
      <w:r w:rsidRPr="00B2525C">
        <w:rPr>
          <w:rFonts w:cs="Arial"/>
        </w:rPr>
        <w:t xml:space="preserve">people </w:t>
      </w:r>
      <w:r w:rsidR="00955D79" w:rsidRPr="00B2525C">
        <w:rPr>
          <w:rFonts w:cs="Arial"/>
        </w:rPr>
        <w:t>calling</w:t>
      </w:r>
      <w:r w:rsidRPr="00B2525C">
        <w:rPr>
          <w:rFonts w:cs="Arial"/>
        </w:rPr>
        <w:t xml:space="preserve"> </w:t>
      </w:r>
      <w:r w:rsidR="00E37EA5" w:rsidRPr="00B2525C">
        <w:rPr>
          <w:rFonts w:cs="Arial"/>
        </w:rPr>
        <w:t>Moonee Valley City Council</w:t>
      </w:r>
      <w:r w:rsidR="00955D79" w:rsidRPr="00B2525C">
        <w:rPr>
          <w:rFonts w:cs="Arial"/>
        </w:rPr>
        <w:t xml:space="preserve"> home and the median age was </w:t>
      </w:r>
      <w:r w:rsidR="00EF41D7" w:rsidRPr="00B2525C">
        <w:rPr>
          <w:rFonts w:cs="Arial"/>
        </w:rPr>
        <w:t>37.8</w:t>
      </w:r>
      <w:r w:rsidRPr="00B2525C">
        <w:rPr>
          <w:rFonts w:cs="Arial"/>
        </w:rPr>
        <w:t>.</w:t>
      </w:r>
      <w:r w:rsidR="00793F0A" w:rsidRPr="00B2525C">
        <w:rPr>
          <w:rFonts w:cs="Arial"/>
        </w:rPr>
        <w:t xml:space="preserve"> Sixteen and a half per</w:t>
      </w:r>
      <w:r w:rsidR="0017290D" w:rsidRPr="00B2525C">
        <w:rPr>
          <w:rFonts w:cs="Arial"/>
        </w:rPr>
        <w:t xml:space="preserve"> </w:t>
      </w:r>
      <w:r w:rsidR="00793F0A" w:rsidRPr="00B2525C">
        <w:rPr>
          <w:rFonts w:cs="Arial"/>
        </w:rPr>
        <w:t>cent were aged less than 15</w:t>
      </w:r>
      <w:r w:rsidR="000300C0" w:rsidRPr="00B2525C">
        <w:rPr>
          <w:rFonts w:cs="Arial"/>
        </w:rPr>
        <w:t>,</w:t>
      </w:r>
      <w:r w:rsidR="00793F0A" w:rsidRPr="00B2525C">
        <w:rPr>
          <w:rFonts w:cs="Arial"/>
        </w:rPr>
        <w:t xml:space="preserve"> and 7.9</w:t>
      </w:r>
      <w:r w:rsidR="00C16E91" w:rsidRPr="00B2525C">
        <w:rPr>
          <w:rFonts w:cs="Arial"/>
        </w:rPr>
        <w:t xml:space="preserve"> </w:t>
      </w:r>
      <w:r w:rsidR="0017290D" w:rsidRPr="00B2525C">
        <w:rPr>
          <w:rFonts w:cs="Arial"/>
        </w:rPr>
        <w:t>per cent</w:t>
      </w:r>
      <w:r w:rsidR="00793F0A" w:rsidRPr="00B2525C">
        <w:rPr>
          <w:rFonts w:cs="Arial"/>
        </w:rPr>
        <w:t xml:space="preserve"> were aged over 75. </w:t>
      </w:r>
      <w:bookmarkEnd w:id="19"/>
      <w:r w:rsidR="00B01D14" w:rsidRPr="00B2525C">
        <w:rPr>
          <w:rFonts w:cs="Arial"/>
        </w:rPr>
        <w:t xml:space="preserve">Moonee Valley’s </w:t>
      </w:r>
      <w:r w:rsidR="00156D99" w:rsidRPr="00B2525C">
        <w:rPr>
          <w:rFonts w:cs="Arial"/>
        </w:rPr>
        <w:t xml:space="preserve">residents are </w:t>
      </w:r>
      <w:r w:rsidR="000300C0" w:rsidRPr="00B2525C">
        <w:rPr>
          <w:rFonts w:cs="Arial"/>
        </w:rPr>
        <w:t xml:space="preserve">on average </w:t>
      </w:r>
      <w:r w:rsidR="00B01D14" w:rsidRPr="00B2525C">
        <w:rPr>
          <w:rFonts w:cs="Arial"/>
        </w:rPr>
        <w:t>older than the population of Greater Melbourne</w:t>
      </w:r>
      <w:r w:rsidR="00D03F5C" w:rsidRPr="00B2525C">
        <w:rPr>
          <w:rFonts w:cs="Arial"/>
        </w:rPr>
        <w:t>.</w:t>
      </w:r>
      <w:r w:rsidR="006D2009">
        <w:rPr>
          <w:rFonts w:cs="Arial"/>
        </w:rPr>
        <w:t xml:space="preserve"> F</w:t>
      </w:r>
      <w:r w:rsidR="00D03F5C" w:rsidRPr="00B2525C">
        <w:rPr>
          <w:rFonts w:cs="Arial"/>
        </w:rPr>
        <w:t>igure</w:t>
      </w:r>
      <w:r w:rsidR="006D2009">
        <w:rPr>
          <w:rFonts w:cs="Arial"/>
        </w:rPr>
        <w:t xml:space="preserve"> </w:t>
      </w:r>
      <w:r w:rsidR="00D85242">
        <w:rPr>
          <w:rFonts w:cs="Arial"/>
        </w:rPr>
        <w:t>7</w:t>
      </w:r>
      <w:r w:rsidR="00D03F5C" w:rsidRPr="00B2525C">
        <w:rPr>
          <w:rFonts w:cs="Arial"/>
        </w:rPr>
        <w:t xml:space="preserve"> below </w:t>
      </w:r>
      <w:r w:rsidR="00156D99" w:rsidRPr="00B2525C">
        <w:rPr>
          <w:rFonts w:cs="Arial"/>
        </w:rPr>
        <w:t xml:space="preserve">highlights there </w:t>
      </w:r>
      <w:r w:rsidR="00B01D14" w:rsidRPr="00B2525C">
        <w:rPr>
          <w:rFonts w:cs="Arial"/>
        </w:rPr>
        <w:t>are smaller proportions of young</w:t>
      </w:r>
      <w:r w:rsidR="00156D99" w:rsidRPr="00B2525C">
        <w:rPr>
          <w:rFonts w:cs="Arial"/>
        </w:rPr>
        <w:t>er</w:t>
      </w:r>
      <w:r w:rsidR="00B01D14" w:rsidRPr="00B2525C">
        <w:rPr>
          <w:rFonts w:cs="Arial"/>
        </w:rPr>
        <w:t xml:space="preserve"> people and </w:t>
      </w:r>
      <w:r w:rsidR="00367809" w:rsidRPr="00B2525C">
        <w:rPr>
          <w:rFonts w:cs="Arial"/>
        </w:rPr>
        <w:t xml:space="preserve">a </w:t>
      </w:r>
      <w:r w:rsidR="00B01D14" w:rsidRPr="00B2525C">
        <w:rPr>
          <w:rFonts w:cs="Arial"/>
        </w:rPr>
        <w:t>higher proportion of older people</w:t>
      </w:r>
      <w:r w:rsidR="00793F0A" w:rsidRPr="00B2525C">
        <w:rPr>
          <w:rFonts w:cs="Arial"/>
        </w:rPr>
        <w:t xml:space="preserve"> in </w:t>
      </w:r>
      <w:r w:rsidR="00E37EA5" w:rsidRPr="00B2525C">
        <w:rPr>
          <w:rFonts w:cs="Arial"/>
        </w:rPr>
        <w:t>Moonee Valley City Council</w:t>
      </w:r>
      <w:r w:rsidR="00793F0A" w:rsidRPr="00B2525C">
        <w:rPr>
          <w:rFonts w:cs="Arial"/>
        </w:rPr>
        <w:t xml:space="preserve"> compared to those living in Greater Melbourne</w:t>
      </w:r>
      <w:r w:rsidR="00955D79" w:rsidRPr="00B2525C">
        <w:rPr>
          <w:rFonts w:cs="Arial"/>
        </w:rPr>
        <w:t xml:space="preserve">. </w:t>
      </w:r>
    </w:p>
    <w:p w14:paraId="2BF2941C" w14:textId="77777777" w:rsidR="005F2779" w:rsidRDefault="005F2779">
      <w:pPr>
        <w:rPr>
          <w:rFonts w:cs="Arial"/>
        </w:rPr>
      </w:pPr>
    </w:p>
    <w:p w14:paraId="1428BC75" w14:textId="1E80082C" w:rsidR="005F2779" w:rsidRDefault="005F2779" w:rsidP="005F2779">
      <w:pPr>
        <w:pStyle w:val="NormalWeb"/>
        <w:spacing w:before="0" w:beforeAutospacing="0" w:after="0" w:afterAutospacing="0"/>
      </w:pPr>
      <w:r w:rsidRPr="005F2779">
        <w:rPr>
          <w:rFonts w:ascii="Circular Std Book" w:hAnsi="Circular Std Book" w:cs="Circular Std Book"/>
          <w:b/>
          <w:color w:val="000000" w:themeColor="dark1"/>
        </w:rPr>
        <w:t>Figure</w:t>
      </w:r>
      <w:r w:rsidR="00B93B84">
        <w:rPr>
          <w:rFonts w:ascii="Circular Std Book" w:hAnsi="Circular Std Book" w:cs="Circular Std Book"/>
          <w:b/>
          <w:color w:val="000000" w:themeColor="dark1"/>
        </w:rPr>
        <w:t xml:space="preserve"> 7</w:t>
      </w:r>
      <w:r w:rsidR="00B93B84">
        <w:rPr>
          <w:rFonts w:ascii="Circular Std Book" w:hAnsi="Circular Std Book" w:cs="Circular Std Book"/>
          <w:color w:val="000000" w:themeColor="dark1"/>
        </w:rPr>
        <w:t xml:space="preserve">. </w:t>
      </w:r>
      <w:r>
        <w:rPr>
          <w:rFonts w:ascii="Circular Std Book" w:hAnsi="Circular Std Book" w:cs="Circular Std Book"/>
          <w:color w:val="000000" w:themeColor="dark1"/>
        </w:rPr>
        <w:t xml:space="preserve">Moonee Valley's Population Compared to Greater Melbourne by Age </w:t>
      </w:r>
    </w:p>
    <w:p w14:paraId="79D29683" w14:textId="77777777" w:rsidR="005F2779" w:rsidRPr="00B2525C" w:rsidRDefault="005F2779">
      <w:pPr>
        <w:rPr>
          <w:rFonts w:cs="Arial"/>
        </w:rPr>
      </w:pPr>
      <w:r w:rsidRPr="00B2525C">
        <w:rPr>
          <w:rFonts w:ascii="Arial" w:hAnsi="Arial" w:cs="Arial"/>
          <w:noProof/>
          <w:shd w:val="clear" w:color="auto" w:fill="31788F"/>
        </w:rPr>
        <w:drawing>
          <wp:inline distT="0" distB="0" distL="0" distR="0" wp14:anchorId="04F4A934" wp14:editId="390BE89D">
            <wp:extent cx="5734050" cy="5800765"/>
            <wp:effectExtent l="0" t="0" r="0" b="0"/>
            <wp:docPr id="74" name="Chart 74">
              <a:extLst xmlns:a="http://schemas.openxmlformats.org/drawingml/2006/main">
                <a:ext uri="{FF2B5EF4-FFF2-40B4-BE49-F238E27FC236}">
                  <a16:creationId xmlns:a16="http://schemas.microsoft.com/office/drawing/2014/main" id="{80C541CB-8A04-49AB-A0FD-7A05D2162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E520C5" w14:textId="77777777" w:rsidR="00E4742E" w:rsidRPr="00B2525C" w:rsidRDefault="00E4742E" w:rsidP="004010D0">
      <w:pPr>
        <w:pStyle w:val="NoSpacing"/>
        <w:rPr>
          <w:rFonts w:ascii="Arial" w:hAnsi="Arial" w:cs="Arial"/>
        </w:rPr>
      </w:pPr>
    </w:p>
    <w:p w14:paraId="5726DEBC" w14:textId="77777777" w:rsidR="004010D0" w:rsidRPr="00B2525C" w:rsidRDefault="004010D0" w:rsidP="004010D0">
      <w:pPr>
        <w:pStyle w:val="Caption"/>
        <w:rPr>
          <w:rFonts w:cs="Arial"/>
        </w:rPr>
      </w:pPr>
      <w:r w:rsidRPr="00B2525C">
        <w:rPr>
          <w:rFonts w:cs="Arial"/>
        </w:rPr>
        <w:t>Source: ABS, Regional Population by Age, 2019</w:t>
      </w:r>
    </w:p>
    <w:p w14:paraId="093BC2D8" w14:textId="77777777" w:rsidR="00013D9B" w:rsidRPr="00B2525C" w:rsidRDefault="00013D9B" w:rsidP="001E13D2">
      <w:pPr>
        <w:pStyle w:val="Heading3"/>
        <w:rPr>
          <w:rFonts w:cs="Arial"/>
        </w:rPr>
      </w:pPr>
      <w:r w:rsidRPr="00B2525C">
        <w:rPr>
          <w:rFonts w:cs="Arial"/>
        </w:rPr>
        <w:br w:type="page"/>
      </w:r>
    </w:p>
    <w:p w14:paraId="54AE8533" w14:textId="77777777" w:rsidR="001E13D2" w:rsidRDefault="00955D79" w:rsidP="001E13D2">
      <w:pPr>
        <w:pStyle w:val="Heading3"/>
        <w:rPr>
          <w:rFonts w:cs="Arial"/>
        </w:rPr>
      </w:pPr>
      <w:r w:rsidRPr="00B2525C">
        <w:rPr>
          <w:rFonts w:cs="Arial"/>
        </w:rPr>
        <w:lastRenderedPageBreak/>
        <w:t>Demographic change</w:t>
      </w:r>
    </w:p>
    <w:p w14:paraId="4638E03A" w14:textId="77777777" w:rsidR="001E13D2" w:rsidRDefault="001E13D2" w:rsidP="001E13D2">
      <w:pPr>
        <w:rPr>
          <w:rFonts w:cs="Arial"/>
        </w:rPr>
      </w:pPr>
      <w:r w:rsidRPr="00B2525C">
        <w:rPr>
          <w:rFonts w:cs="Arial"/>
        </w:rPr>
        <w:t>The population of the City of Moonee Valley is forecast to increase from approximately 133,250 residents in 2021, to around 166,000 in 2041. This is an increase of approximately 25 per cent over 20 years</w:t>
      </w:r>
      <w:r w:rsidR="005C3348" w:rsidRPr="00B2525C">
        <w:rPr>
          <w:rFonts w:cs="Arial"/>
        </w:rPr>
        <w:t>.</w:t>
      </w:r>
    </w:p>
    <w:p w14:paraId="0EFEDDBA" w14:textId="77777777" w:rsidR="00DB61AA" w:rsidRDefault="00DB61AA" w:rsidP="001E13D2">
      <w:pPr>
        <w:rPr>
          <w:rFonts w:cs="Arial"/>
        </w:rPr>
      </w:pPr>
    </w:p>
    <w:p w14:paraId="628CD513" w14:textId="3732FDFE" w:rsidR="00DB61AA" w:rsidRPr="00B2525C" w:rsidRDefault="000052A8" w:rsidP="001E13D2">
      <w:pPr>
        <w:rPr>
          <w:rFonts w:cs="Arial"/>
        </w:rPr>
      </w:pPr>
      <w:r w:rsidRPr="005F2779">
        <w:rPr>
          <w:rFonts w:cs="Arial"/>
          <w:b/>
        </w:rPr>
        <w:t>Figure</w:t>
      </w:r>
      <w:r w:rsidR="00B93B84">
        <w:rPr>
          <w:rFonts w:cs="Arial"/>
          <w:b/>
        </w:rPr>
        <w:t xml:space="preserve"> 8</w:t>
      </w:r>
      <w:r w:rsidR="00B93B84">
        <w:rPr>
          <w:rFonts w:cs="Arial"/>
        </w:rPr>
        <w:t>.</w:t>
      </w:r>
      <w:r w:rsidR="00DB61AA" w:rsidRPr="00DB61AA">
        <w:rPr>
          <w:rFonts w:eastAsiaTheme="minorEastAsia" w:cs="Circular Std Book"/>
          <w:color w:val="595959"/>
          <w:kern w:val="24"/>
          <w:sz w:val="24"/>
          <w:szCs w:val="24"/>
          <w:lang w:eastAsia="en-AU"/>
          <w14:textFill>
            <w14:solidFill>
              <w14:srgbClr w14:val="595959">
                <w14:lumMod w14:val="65000"/>
                <w14:lumOff w14:val="35000"/>
              </w14:srgbClr>
            </w14:solidFill>
          </w14:textFill>
        </w:rPr>
        <w:t xml:space="preserve"> </w:t>
      </w:r>
      <w:r w:rsidR="00DB61AA" w:rsidRPr="00DB61AA">
        <w:rPr>
          <w:rFonts w:cs="Arial"/>
        </w:rPr>
        <w:t>Moonee Valley City Council Forecast Population, 2016-2041</w:t>
      </w:r>
    </w:p>
    <w:p w14:paraId="4FD7360F" w14:textId="77777777" w:rsidR="001E13D2" w:rsidRPr="00B2525C" w:rsidRDefault="001E13D2" w:rsidP="001E13D2">
      <w:pPr>
        <w:pStyle w:val="NoSpacing"/>
        <w:rPr>
          <w:rFonts w:ascii="Arial" w:hAnsi="Arial" w:cs="Arial"/>
        </w:rPr>
      </w:pPr>
      <w:r w:rsidRPr="00B2525C">
        <w:rPr>
          <w:rFonts w:ascii="Arial" w:hAnsi="Arial" w:cs="Arial"/>
          <w:noProof/>
        </w:rPr>
        <w:drawing>
          <wp:inline distT="0" distB="0" distL="0" distR="0" wp14:anchorId="18E795C5" wp14:editId="15072040">
            <wp:extent cx="5692775" cy="2337683"/>
            <wp:effectExtent l="0" t="0" r="3175" b="5715"/>
            <wp:docPr id="36" name="Chart 36">
              <a:extLst xmlns:a="http://schemas.openxmlformats.org/drawingml/2006/main">
                <a:ext uri="{FF2B5EF4-FFF2-40B4-BE49-F238E27FC236}">
                  <a16:creationId xmlns:a16="http://schemas.microsoft.com/office/drawing/2014/main" id="{E5D01308-624A-4D05-AAF5-B1B453053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01C4FB" w14:textId="41FAAA4C" w:rsidR="009F6856" w:rsidRPr="003C2739" w:rsidRDefault="001E13D2" w:rsidP="003C2739">
      <w:pPr>
        <w:pStyle w:val="Caption"/>
        <w:rPr>
          <w:rFonts w:cs="Arial"/>
        </w:rPr>
      </w:pPr>
      <w:r w:rsidRPr="00B2525C">
        <w:rPr>
          <w:rFonts w:cs="Arial"/>
        </w:rPr>
        <w:t>Source: REMPLAN, Moonee Valley Population Forecasts, 2021</w:t>
      </w:r>
    </w:p>
    <w:p w14:paraId="3FC74AE3" w14:textId="77777777" w:rsidR="003C2739" w:rsidRDefault="003C2739" w:rsidP="001E13D2"/>
    <w:p w14:paraId="04D7D771" w14:textId="77777777" w:rsidR="0039503D" w:rsidRDefault="0039503D" w:rsidP="001E13D2">
      <w:r>
        <w:br w:type="page"/>
      </w:r>
    </w:p>
    <w:p w14:paraId="00EE8B2F" w14:textId="58AD2100" w:rsidR="00DB61AA" w:rsidRPr="00263A11" w:rsidRDefault="000666C6" w:rsidP="001E13D2">
      <w:r w:rsidRPr="00B2525C">
        <w:lastRenderedPageBreak/>
        <w:t xml:space="preserve">It is projected that </w:t>
      </w:r>
      <w:r w:rsidR="001E13D2" w:rsidRPr="00B2525C">
        <w:t>there will be an increase in the population of all age group</w:t>
      </w:r>
      <w:r w:rsidR="00627C7D" w:rsidRPr="00B2525C">
        <w:t xml:space="preserve">s living in </w:t>
      </w:r>
      <w:r w:rsidR="00E37EA5" w:rsidRPr="00B2525C">
        <w:t>Moonee Valley City Council</w:t>
      </w:r>
      <w:r w:rsidRPr="00B2525C">
        <w:t xml:space="preserve">. Similar to Australian and Victorian population trends, </w:t>
      </w:r>
      <w:r w:rsidR="00E37EA5" w:rsidRPr="00B2525C">
        <w:t>Moonee Valley City Council</w:t>
      </w:r>
      <w:r w:rsidRPr="00B2525C">
        <w:t xml:space="preserve"> has an ageing population. The greatest projected change is</w:t>
      </w:r>
      <w:r w:rsidR="0029000B" w:rsidRPr="00B2525C">
        <w:t xml:space="preserve"> </w:t>
      </w:r>
      <w:r w:rsidRPr="00B2525C">
        <w:t>among the 80 + age group with a forecast growth of 71.3</w:t>
      </w:r>
      <w:r w:rsidR="00C16E91" w:rsidRPr="00B2525C">
        <w:t xml:space="preserve"> </w:t>
      </w:r>
      <w:r w:rsidR="0017290D" w:rsidRPr="00B2525C">
        <w:t>per cent</w:t>
      </w:r>
      <w:r w:rsidRPr="00B2525C">
        <w:t xml:space="preserve"> (from 6,905 people in 2016 to 11,951 people in </w:t>
      </w:r>
      <w:proofErr w:type="gramStart"/>
      <w:r w:rsidRPr="00B2525C">
        <w:t>2041 )</w:t>
      </w:r>
      <w:proofErr w:type="gramEnd"/>
      <w:r w:rsidRPr="00B2525C">
        <w:t>. People aged 65-79 ha</w:t>
      </w:r>
      <w:r w:rsidR="00C16E91" w:rsidRPr="00B2525C">
        <w:t xml:space="preserve">ve </w:t>
      </w:r>
      <w:r w:rsidRPr="00B2525C">
        <w:t>the second leading forecast growth of 41.5</w:t>
      </w:r>
      <w:r w:rsidR="00EA4929" w:rsidRPr="00B2525C">
        <w:t xml:space="preserve"> </w:t>
      </w:r>
      <w:r w:rsidR="0017290D" w:rsidRPr="00B2525C">
        <w:t>per cent</w:t>
      </w:r>
      <w:r w:rsidRPr="00B2525C">
        <w:t xml:space="preserve"> (from 14,908 </w:t>
      </w:r>
      <w:r w:rsidR="00627C7D" w:rsidRPr="00B2525C">
        <w:t>people</w:t>
      </w:r>
      <w:r w:rsidRPr="00B2525C">
        <w:t xml:space="preserve"> in 2016 to 21,099 in 2041)</w:t>
      </w:r>
      <w:r w:rsidR="00EC2FE2" w:rsidRPr="00B2525C">
        <w:t xml:space="preserve">. </w:t>
      </w:r>
      <w:r w:rsidR="001A2017" w:rsidRPr="00B2525C">
        <w:rPr>
          <w:rFonts w:cs="Arial"/>
        </w:rPr>
        <w:t>The sex distribution shows that in 2021 there are more women than men (men = 63</w:t>
      </w:r>
      <w:r w:rsidR="00F622F3" w:rsidRPr="00B2525C">
        <w:rPr>
          <w:rFonts w:cs="Arial"/>
        </w:rPr>
        <w:t>,</w:t>
      </w:r>
      <w:r w:rsidR="001A2017" w:rsidRPr="00B2525C">
        <w:rPr>
          <w:rFonts w:cs="Arial"/>
        </w:rPr>
        <w:t>442 and women 66</w:t>
      </w:r>
      <w:r w:rsidR="00F622F3" w:rsidRPr="00B2525C">
        <w:rPr>
          <w:rFonts w:cs="Arial"/>
        </w:rPr>
        <w:t>,</w:t>
      </w:r>
      <w:r w:rsidR="001A2017" w:rsidRPr="00B2525C">
        <w:rPr>
          <w:rFonts w:cs="Arial"/>
        </w:rPr>
        <w:t xml:space="preserve">852). Among children and youth there are slightly more </w:t>
      </w:r>
      <w:r w:rsidR="00D87B07" w:rsidRPr="00B2525C">
        <w:rPr>
          <w:rFonts w:cs="Arial"/>
        </w:rPr>
        <w:t>men</w:t>
      </w:r>
      <w:r w:rsidR="001A2017" w:rsidRPr="00B2525C">
        <w:rPr>
          <w:rFonts w:cs="Arial"/>
        </w:rPr>
        <w:t>. There are approximately equal proportions of men and women among adults (aged</w:t>
      </w:r>
      <w:r w:rsidR="0029000B" w:rsidRPr="00B2525C">
        <w:rPr>
          <w:rFonts w:cs="Arial"/>
        </w:rPr>
        <w:t xml:space="preserve"> </w:t>
      </w:r>
      <w:r w:rsidR="001A2017" w:rsidRPr="00B2525C">
        <w:rPr>
          <w:rFonts w:cs="Arial"/>
        </w:rPr>
        <w:t xml:space="preserve">18 to 60). </w:t>
      </w:r>
      <w:r w:rsidR="005C3348" w:rsidRPr="00B2525C">
        <w:rPr>
          <w:rFonts w:cs="Arial"/>
        </w:rPr>
        <w:t>However,</w:t>
      </w:r>
      <w:r w:rsidR="001A2017" w:rsidRPr="00B2525C">
        <w:rPr>
          <w:rFonts w:cs="Arial"/>
        </w:rPr>
        <w:t xml:space="preserve"> from the ages of 60 and over there are more women. This is especially evident in the 85+ age group where there were 37</w:t>
      </w:r>
      <w:r w:rsidR="0017290D" w:rsidRPr="00B2525C">
        <w:rPr>
          <w:rFonts w:cs="Arial"/>
        </w:rPr>
        <w:t xml:space="preserve"> per cent</w:t>
      </w:r>
      <w:r w:rsidR="001A2017" w:rsidRPr="00B2525C">
        <w:rPr>
          <w:rFonts w:cs="Arial"/>
        </w:rPr>
        <w:t xml:space="preserve"> men and 63</w:t>
      </w:r>
      <w:r w:rsidR="0017290D" w:rsidRPr="00B2525C">
        <w:rPr>
          <w:rFonts w:cs="Arial"/>
        </w:rPr>
        <w:t xml:space="preserve"> per cent</w:t>
      </w:r>
      <w:r w:rsidR="001A2017" w:rsidRPr="00B2525C">
        <w:rPr>
          <w:rFonts w:cs="Arial"/>
        </w:rPr>
        <w:t xml:space="preserve"> women.</w:t>
      </w:r>
    </w:p>
    <w:p w14:paraId="5A5E2DD0" w14:textId="77777777" w:rsidR="005F2779" w:rsidRDefault="005F2779" w:rsidP="001E13D2">
      <w:pPr>
        <w:rPr>
          <w:rFonts w:cs="Arial"/>
        </w:rPr>
      </w:pPr>
    </w:p>
    <w:p w14:paraId="29C2DC05" w14:textId="01073846" w:rsidR="001E13D2" w:rsidRPr="00B2525C" w:rsidRDefault="000052A8" w:rsidP="001E13D2">
      <w:pPr>
        <w:rPr>
          <w:rFonts w:cs="Arial"/>
        </w:rPr>
      </w:pPr>
      <w:r w:rsidRPr="005F2779">
        <w:rPr>
          <w:rFonts w:cs="Arial"/>
          <w:b/>
        </w:rPr>
        <w:t>Figure</w:t>
      </w:r>
      <w:r w:rsidR="00B93B84">
        <w:rPr>
          <w:rFonts w:cs="Arial"/>
          <w:b/>
        </w:rPr>
        <w:t xml:space="preserve"> 9</w:t>
      </w:r>
      <w:r w:rsidR="00B93B84">
        <w:rPr>
          <w:rFonts w:cs="Arial"/>
        </w:rPr>
        <w:t xml:space="preserve">. </w:t>
      </w:r>
      <w:r w:rsidR="00DB61AA" w:rsidRPr="00DB61AA">
        <w:rPr>
          <w:rFonts w:cs="Arial"/>
          <w:lang w:val="en-US"/>
        </w:rPr>
        <w:t>Moonee Valley Forecast Population by age and sex, 2021 and 2041</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68"/>
      </w:tblGrid>
      <w:tr w:rsidR="001E13D2" w:rsidRPr="00B2525C" w14:paraId="149DD29F" w14:textId="77777777" w:rsidTr="00C85F94">
        <w:tc>
          <w:tcPr>
            <w:tcW w:w="9918" w:type="dxa"/>
            <w:gridSpan w:val="2"/>
          </w:tcPr>
          <w:p w14:paraId="337F7A1E" w14:textId="77777777" w:rsidR="00EF41D7" w:rsidRPr="00B2525C" w:rsidRDefault="00EF41D7" w:rsidP="00C85F94">
            <w:pPr>
              <w:rPr>
                <w:rFonts w:cs="Arial"/>
                <w:sz w:val="20"/>
                <w:szCs w:val="20"/>
              </w:rPr>
            </w:pPr>
          </w:p>
          <w:p w14:paraId="3C7CA39F" w14:textId="77777777" w:rsidR="00EF41D7" w:rsidRPr="00B2525C" w:rsidRDefault="00EF41D7" w:rsidP="00C85F94">
            <w:pPr>
              <w:rPr>
                <w:rFonts w:cs="Arial"/>
                <w:sz w:val="20"/>
                <w:szCs w:val="20"/>
              </w:rPr>
            </w:pPr>
            <w:r w:rsidRPr="00B2525C">
              <w:rPr>
                <w:rFonts w:cs="Arial"/>
                <w:noProof/>
              </w:rPr>
              <w:drawing>
                <wp:inline distT="0" distB="0" distL="0" distR="0" wp14:anchorId="72620AA1" wp14:editId="3F15AF3B">
                  <wp:extent cx="5794217" cy="4906978"/>
                  <wp:effectExtent l="0" t="0" r="16510" b="8255"/>
                  <wp:docPr id="390" name="Chart 390">
                    <a:extLst xmlns:a="http://schemas.openxmlformats.org/drawingml/2006/main">
                      <a:ext uri="{FF2B5EF4-FFF2-40B4-BE49-F238E27FC236}">
                        <a16:creationId xmlns:a16="http://schemas.microsoft.com/office/drawing/2014/main" id="{A6F03066-CE3D-4C5D-9A3B-26883CA35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1E13D2" w:rsidRPr="00B2525C" w14:paraId="233DD1F2" w14:textId="77777777" w:rsidTr="00C85F94">
        <w:tc>
          <w:tcPr>
            <w:tcW w:w="4950" w:type="dxa"/>
          </w:tcPr>
          <w:p w14:paraId="05A5D8A9" w14:textId="77777777" w:rsidR="001E13D2" w:rsidRPr="00B2525C" w:rsidRDefault="001E13D2" w:rsidP="00C85F94">
            <w:pPr>
              <w:rPr>
                <w:rFonts w:cs="Arial"/>
              </w:rPr>
            </w:pPr>
          </w:p>
        </w:tc>
        <w:tc>
          <w:tcPr>
            <w:tcW w:w="4968" w:type="dxa"/>
          </w:tcPr>
          <w:p w14:paraId="46757607" w14:textId="77777777" w:rsidR="001E13D2" w:rsidRPr="00B2525C" w:rsidRDefault="001E13D2" w:rsidP="00C85F94">
            <w:pPr>
              <w:rPr>
                <w:rFonts w:cs="Arial"/>
              </w:rPr>
            </w:pPr>
          </w:p>
        </w:tc>
      </w:tr>
      <w:tr w:rsidR="001E13D2" w:rsidRPr="00B2525C" w14:paraId="0236F609" w14:textId="77777777" w:rsidTr="00C85F94">
        <w:tc>
          <w:tcPr>
            <w:tcW w:w="9918" w:type="dxa"/>
            <w:gridSpan w:val="2"/>
          </w:tcPr>
          <w:p w14:paraId="15ABFDDE" w14:textId="77777777" w:rsidR="001E13D2" w:rsidRPr="00B2525C" w:rsidRDefault="001E13D2" w:rsidP="00C85F94">
            <w:pPr>
              <w:pStyle w:val="Caption"/>
              <w:rPr>
                <w:rFonts w:cs="Arial"/>
              </w:rPr>
            </w:pPr>
            <w:r w:rsidRPr="0039503D">
              <w:rPr>
                <w:rFonts w:cs="Arial"/>
                <w:color w:val="auto"/>
              </w:rPr>
              <w:t xml:space="preserve">Source: REMPLAN, Moonee Valley Population Forecasts, 2021 </w:t>
            </w:r>
          </w:p>
        </w:tc>
      </w:tr>
    </w:tbl>
    <w:p w14:paraId="11895638" w14:textId="77777777" w:rsidR="00263A11" w:rsidRDefault="00263A11" w:rsidP="001A2017">
      <w:pPr>
        <w:rPr>
          <w:rFonts w:cs="Arial"/>
        </w:rPr>
      </w:pPr>
    </w:p>
    <w:p w14:paraId="4FD3E76C" w14:textId="77777777" w:rsidR="0039503D" w:rsidRDefault="0039503D" w:rsidP="001A2017">
      <w:pPr>
        <w:rPr>
          <w:rFonts w:cs="Arial"/>
        </w:rPr>
      </w:pPr>
      <w:r>
        <w:rPr>
          <w:rFonts w:cs="Arial"/>
        </w:rPr>
        <w:br w:type="page"/>
      </w:r>
    </w:p>
    <w:p w14:paraId="5CBD567F" w14:textId="6C8545CE" w:rsidR="002D250A" w:rsidRDefault="00793F0A" w:rsidP="001A2017">
      <w:pPr>
        <w:rPr>
          <w:rFonts w:cs="Arial"/>
        </w:rPr>
      </w:pPr>
      <w:r w:rsidRPr="00B2525C">
        <w:rPr>
          <w:rFonts w:cs="Arial"/>
        </w:rPr>
        <w:lastRenderedPageBreak/>
        <w:t xml:space="preserve">It is predicted that </w:t>
      </w:r>
      <w:r w:rsidR="00627C7D" w:rsidRPr="00B2525C">
        <w:rPr>
          <w:rFonts w:cs="Arial"/>
        </w:rPr>
        <w:t xml:space="preserve">by 2041, </w:t>
      </w:r>
      <w:r w:rsidRPr="00B2525C">
        <w:rPr>
          <w:rFonts w:cs="Arial"/>
        </w:rPr>
        <w:t xml:space="preserve">by </w:t>
      </w:r>
      <w:r w:rsidR="000300C0" w:rsidRPr="00B2525C">
        <w:rPr>
          <w:rFonts w:cs="Arial"/>
        </w:rPr>
        <w:t>residential area</w:t>
      </w:r>
      <w:r w:rsidRPr="00B2525C">
        <w:rPr>
          <w:rFonts w:cs="Arial"/>
        </w:rPr>
        <w:t>, the highest proportions of those aged 65 years and over would live</w:t>
      </w:r>
      <w:r w:rsidR="00C16E91" w:rsidRPr="00B2525C">
        <w:rPr>
          <w:rFonts w:cs="Arial"/>
        </w:rPr>
        <w:t xml:space="preserve"> in</w:t>
      </w:r>
      <w:r w:rsidRPr="00B2525C">
        <w:rPr>
          <w:rFonts w:cs="Arial"/>
        </w:rPr>
        <w:t xml:space="preserve"> </w:t>
      </w:r>
      <w:r w:rsidR="00627C7D" w:rsidRPr="00B2525C">
        <w:rPr>
          <w:rFonts w:cs="Arial"/>
        </w:rPr>
        <w:t>Keilor East (28.4</w:t>
      </w:r>
      <w:r w:rsidR="0017290D" w:rsidRPr="00B2525C">
        <w:rPr>
          <w:rFonts w:cs="Arial"/>
        </w:rPr>
        <w:t xml:space="preserve"> per cent</w:t>
      </w:r>
      <w:r w:rsidR="00627C7D" w:rsidRPr="00B2525C">
        <w:rPr>
          <w:rFonts w:cs="Arial"/>
        </w:rPr>
        <w:t>) and in Milleara (27.7</w:t>
      </w:r>
      <w:r w:rsidR="0017290D" w:rsidRPr="00B2525C">
        <w:rPr>
          <w:rFonts w:cs="Arial"/>
        </w:rPr>
        <w:t xml:space="preserve"> per cent</w:t>
      </w:r>
      <w:r w:rsidR="00627C7D" w:rsidRPr="00B2525C">
        <w:rPr>
          <w:rFonts w:cs="Arial"/>
        </w:rPr>
        <w:t>)</w:t>
      </w:r>
      <w:r w:rsidRPr="00B2525C">
        <w:rPr>
          <w:rFonts w:cs="Arial"/>
        </w:rPr>
        <w:t xml:space="preserve">. </w:t>
      </w:r>
      <w:r w:rsidR="00627C7D" w:rsidRPr="00B2525C">
        <w:rPr>
          <w:rFonts w:cs="Arial"/>
        </w:rPr>
        <w:t>Moonee Ponds and Flemington</w:t>
      </w:r>
      <w:r w:rsidRPr="00B2525C">
        <w:rPr>
          <w:rFonts w:cs="Arial"/>
        </w:rPr>
        <w:t xml:space="preserve"> are likely to have the highest proportions of young people</w:t>
      </w:r>
      <w:r w:rsidR="00627C7D" w:rsidRPr="00B2525C">
        <w:rPr>
          <w:rFonts w:cs="Arial"/>
        </w:rPr>
        <w:t xml:space="preserve"> aged under 25</w:t>
      </w:r>
      <w:r w:rsidRPr="00B2525C">
        <w:rPr>
          <w:rFonts w:cs="Arial"/>
        </w:rPr>
        <w:t>.</w:t>
      </w:r>
    </w:p>
    <w:p w14:paraId="66AC20CC" w14:textId="77777777" w:rsidR="00DB61AA" w:rsidRDefault="00DB61AA" w:rsidP="001A2017">
      <w:pPr>
        <w:rPr>
          <w:rFonts w:cs="Arial"/>
        </w:rPr>
      </w:pPr>
    </w:p>
    <w:p w14:paraId="74732A11" w14:textId="433CAFB0" w:rsidR="00DB61AA" w:rsidRPr="00DB61AA" w:rsidRDefault="000052A8" w:rsidP="00DB61AA">
      <w:pPr>
        <w:rPr>
          <w:rFonts w:cs="Arial"/>
        </w:rPr>
      </w:pPr>
      <w:r w:rsidRPr="005F2779">
        <w:rPr>
          <w:rFonts w:cs="Arial"/>
          <w:b/>
        </w:rPr>
        <w:t>Figure</w:t>
      </w:r>
      <w:r w:rsidR="00B93B84">
        <w:rPr>
          <w:rFonts w:cs="Arial"/>
          <w:b/>
        </w:rPr>
        <w:t xml:space="preserve"> 10.</w:t>
      </w:r>
      <w:r w:rsidR="00DB61AA" w:rsidRPr="00DB61AA">
        <w:rPr>
          <w:rFonts w:eastAsiaTheme="minorEastAsia" w:cs="Circular Std Book"/>
          <w:color w:val="595959"/>
          <w:kern w:val="24"/>
          <w:sz w:val="24"/>
          <w:szCs w:val="24"/>
          <w:lang w:eastAsia="en-AU"/>
          <w14:textFill>
            <w14:solidFill>
              <w14:srgbClr w14:val="595959">
                <w14:lumMod w14:val="65000"/>
                <w14:lumOff w14:val="35000"/>
              </w14:srgbClr>
            </w14:solidFill>
          </w14:textFill>
        </w:rPr>
        <w:t xml:space="preserve"> </w:t>
      </w:r>
      <w:r w:rsidR="00DB61AA" w:rsidRPr="00DB61AA">
        <w:rPr>
          <w:rFonts w:cs="Arial"/>
        </w:rPr>
        <w:t>Estimated population in 2041 by age and location</w:t>
      </w:r>
    </w:p>
    <w:p w14:paraId="0121C6F7" w14:textId="77777777" w:rsidR="00DB61AA" w:rsidRPr="00B2525C" w:rsidRDefault="00DB61AA" w:rsidP="001A2017">
      <w:pPr>
        <w:rPr>
          <w:rFonts w:cs="Arial"/>
        </w:rPr>
      </w:pPr>
    </w:p>
    <w:p w14:paraId="07DA9DB8" w14:textId="77777777" w:rsidR="00793F0A" w:rsidRPr="00B2525C" w:rsidRDefault="00793F0A" w:rsidP="001A2017">
      <w:pPr>
        <w:rPr>
          <w:rFonts w:cs="Arial"/>
        </w:rPr>
      </w:pPr>
      <w:r w:rsidRPr="00B2525C">
        <w:rPr>
          <w:rFonts w:cs="Arial"/>
          <w:noProof/>
        </w:rPr>
        <w:drawing>
          <wp:inline distT="0" distB="0" distL="0" distR="0" wp14:anchorId="1C30C68E" wp14:editId="185AC357">
            <wp:extent cx="5996305" cy="3431264"/>
            <wp:effectExtent l="0" t="0" r="4445" b="0"/>
            <wp:docPr id="80" name="Chart 80">
              <a:extLst xmlns:a="http://schemas.openxmlformats.org/drawingml/2006/main">
                <a:ext uri="{FF2B5EF4-FFF2-40B4-BE49-F238E27FC236}">
                  <a16:creationId xmlns:a16="http://schemas.microsoft.com/office/drawing/2014/main" id="{1940773B-2C4D-4799-A997-394109548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E140DB" w14:textId="77777777" w:rsidR="00C162DE" w:rsidRDefault="00AB4229" w:rsidP="00C162DE">
      <w:pPr>
        <w:rPr>
          <w:rFonts w:cs="Arial"/>
          <w:i/>
          <w:sz w:val="18"/>
          <w:szCs w:val="18"/>
        </w:rPr>
      </w:pPr>
      <w:r w:rsidRPr="00AB4229">
        <w:rPr>
          <w:rFonts w:cs="Arial"/>
          <w:i/>
          <w:sz w:val="18"/>
          <w:szCs w:val="18"/>
        </w:rPr>
        <w:t>Source: REMPLAN, Moonee Valley Population Forecasts, 2021</w:t>
      </w:r>
    </w:p>
    <w:p w14:paraId="6F7EA2B2" w14:textId="77777777" w:rsidR="0039503D" w:rsidRDefault="0039503D" w:rsidP="005F2779">
      <w:pPr>
        <w:pStyle w:val="Heading3"/>
        <w:rPr>
          <w:rFonts w:cs="Arial"/>
        </w:rPr>
      </w:pPr>
      <w:r>
        <w:rPr>
          <w:rFonts w:cs="Arial"/>
        </w:rPr>
        <w:br w:type="page"/>
      </w:r>
    </w:p>
    <w:p w14:paraId="248212ED" w14:textId="4281253E" w:rsidR="00DB61AA" w:rsidRPr="005F2779" w:rsidRDefault="00D9153D" w:rsidP="005F2779">
      <w:pPr>
        <w:pStyle w:val="Heading3"/>
        <w:rPr>
          <w:rFonts w:cs="Arial"/>
        </w:rPr>
      </w:pPr>
      <w:r w:rsidRPr="00B2525C">
        <w:rPr>
          <w:rFonts w:cs="Arial"/>
        </w:rPr>
        <w:lastRenderedPageBreak/>
        <w:t>Births</w:t>
      </w:r>
    </w:p>
    <w:p w14:paraId="2D1CC58C" w14:textId="68AE1667" w:rsidR="00D9153D" w:rsidRPr="00B2525C" w:rsidRDefault="00D9153D" w:rsidP="00D9153D">
      <w:pPr>
        <w:rPr>
          <w:rFonts w:cs="Arial"/>
        </w:rPr>
      </w:pPr>
      <w:r w:rsidRPr="00B2525C">
        <w:rPr>
          <w:rFonts w:cs="Arial"/>
        </w:rPr>
        <w:t>The birth rate</w:t>
      </w:r>
      <w:r w:rsidR="00627C7D" w:rsidRPr="00B2525C">
        <w:rPr>
          <w:rFonts w:cs="Arial"/>
        </w:rPr>
        <w:t xml:space="preserve">s in </w:t>
      </w:r>
      <w:r w:rsidR="00E37EA5" w:rsidRPr="00B2525C">
        <w:rPr>
          <w:rFonts w:cs="Arial"/>
        </w:rPr>
        <w:t>Moonee Valley City Council</w:t>
      </w:r>
      <w:r w:rsidR="0029000B" w:rsidRPr="00B2525C">
        <w:rPr>
          <w:rFonts w:cs="Arial"/>
        </w:rPr>
        <w:t xml:space="preserve"> </w:t>
      </w:r>
      <w:r w:rsidR="00627C7D" w:rsidRPr="00B2525C">
        <w:rPr>
          <w:rFonts w:cs="Arial"/>
        </w:rPr>
        <w:t>have</w:t>
      </w:r>
      <w:r w:rsidRPr="00B2525C">
        <w:rPr>
          <w:rFonts w:cs="Arial"/>
        </w:rPr>
        <w:t xml:space="preserve"> been falling since 2015. Data from Moonee Valley’s Maternal Child and Health (MCH) team show that there were 1,487 births in the municipality in the 2019-20 financial year. This is higher than in 2018-19, but lower than in earlier years. The highest number of births are recorded at Strathmore and Milleara</w:t>
      </w:r>
      <w:r w:rsidR="00CD2D66">
        <w:rPr>
          <w:rFonts w:cs="Arial"/>
        </w:rPr>
        <w:t>.</w:t>
      </w:r>
      <w:r w:rsidRPr="00B2525C">
        <w:rPr>
          <w:rFonts w:cs="Arial"/>
        </w:rPr>
        <w:t xml:space="preserve"> </w:t>
      </w:r>
    </w:p>
    <w:p w14:paraId="43D34F38" w14:textId="77777777" w:rsidR="009F6856" w:rsidRPr="00B2525C" w:rsidRDefault="009F6856" w:rsidP="00D9153D">
      <w:pPr>
        <w:rPr>
          <w:rFonts w:eastAsia="Arial" w:cs="Arial"/>
          <w:b/>
          <w:color w:val="111111"/>
        </w:rPr>
      </w:pPr>
    </w:p>
    <w:p w14:paraId="1C92FC80" w14:textId="2C71D074" w:rsidR="009F6856" w:rsidRDefault="00DB61AA" w:rsidP="00D9153D">
      <w:pPr>
        <w:rPr>
          <w:rFonts w:eastAsia="Arial" w:cs="Arial"/>
          <w:b/>
          <w:color w:val="111111"/>
        </w:rPr>
      </w:pPr>
      <w:r>
        <w:rPr>
          <w:rFonts w:eastAsia="Arial" w:cs="Arial"/>
          <w:b/>
          <w:color w:val="111111"/>
        </w:rPr>
        <w:t>Table</w:t>
      </w:r>
      <w:r w:rsidR="003C2739">
        <w:rPr>
          <w:rFonts w:eastAsia="Arial" w:cs="Arial"/>
          <w:b/>
          <w:color w:val="111111"/>
        </w:rPr>
        <w:t xml:space="preserve"> 3</w:t>
      </w:r>
      <w:r w:rsidR="0039503D">
        <w:rPr>
          <w:rFonts w:eastAsia="Arial" w:cs="Arial"/>
          <w:b/>
          <w:color w:val="111111"/>
        </w:rPr>
        <w:t>.</w:t>
      </w:r>
      <w:r>
        <w:rPr>
          <w:rFonts w:eastAsia="Arial" w:cs="Arial"/>
          <w:b/>
          <w:color w:val="111111"/>
        </w:rPr>
        <w:t xml:space="preserve"> </w:t>
      </w:r>
      <w:r w:rsidR="009F6856" w:rsidRPr="00DB61AA">
        <w:rPr>
          <w:rFonts w:eastAsia="Arial" w:cs="Arial"/>
          <w:color w:val="111111"/>
        </w:rPr>
        <w:t xml:space="preserve">Annual number of </w:t>
      </w:r>
      <w:r w:rsidR="00AB4229" w:rsidRPr="00DB61AA">
        <w:rPr>
          <w:rFonts w:eastAsia="Arial" w:cs="Arial"/>
          <w:color w:val="111111"/>
        </w:rPr>
        <w:t>b</w:t>
      </w:r>
      <w:r w:rsidR="009F6856" w:rsidRPr="00DB61AA">
        <w:rPr>
          <w:rFonts w:eastAsia="Arial" w:cs="Arial"/>
          <w:color w:val="111111"/>
        </w:rPr>
        <w:t>irths by Maternal Child Health Centre in Moonee Valley</w:t>
      </w:r>
      <w:r w:rsidR="009F6856" w:rsidRPr="00B2525C">
        <w:rPr>
          <w:rFonts w:eastAsia="Arial" w:cs="Arial"/>
          <w:b/>
          <w:color w:val="111111"/>
        </w:rPr>
        <w:t xml:space="preserve"> </w:t>
      </w:r>
    </w:p>
    <w:p w14:paraId="66D3B737" w14:textId="77777777" w:rsidR="0039503D" w:rsidRPr="00B2525C" w:rsidRDefault="0039503D" w:rsidP="00D9153D">
      <w:pPr>
        <w:rPr>
          <w:rFonts w:cs="Arial"/>
        </w:rPr>
      </w:pPr>
    </w:p>
    <w:tbl>
      <w:tblPr>
        <w:tblW w:w="8237" w:type="dxa"/>
        <w:jc w:val="center"/>
        <w:tblLayout w:type="fixed"/>
        <w:tblLook w:val="0420" w:firstRow="1" w:lastRow="0" w:firstColumn="0" w:lastColumn="0" w:noHBand="0" w:noVBand="1"/>
      </w:tblPr>
      <w:tblGrid>
        <w:gridCol w:w="2147"/>
        <w:gridCol w:w="1218"/>
        <w:gridCol w:w="1218"/>
        <w:gridCol w:w="1218"/>
        <w:gridCol w:w="1218"/>
        <w:gridCol w:w="1218"/>
      </w:tblGrid>
      <w:tr w:rsidR="00D9153D" w:rsidRPr="00B2525C" w14:paraId="6F2A76A6" w14:textId="77777777" w:rsidTr="005F2779">
        <w:trPr>
          <w:cantSplit/>
          <w:tblHeader/>
          <w:jc w:val="center"/>
        </w:trPr>
        <w:tc>
          <w:tcPr>
            <w:tcW w:w="2147" w:type="dxa"/>
            <w:tcBorders>
              <w:top w:val="single" w:sz="8" w:space="0" w:color="333333"/>
            </w:tcBorders>
            <w:shd w:val="clear" w:color="auto" w:fill="FFFFFF"/>
            <w:tcMar>
              <w:top w:w="0" w:type="dxa"/>
              <w:left w:w="0" w:type="dxa"/>
              <w:bottom w:w="0" w:type="dxa"/>
              <w:right w:w="0" w:type="dxa"/>
            </w:tcMar>
            <w:vAlign w:val="center"/>
          </w:tcPr>
          <w:p w14:paraId="4DED7638" w14:textId="77777777" w:rsidR="00D9153D" w:rsidRPr="00B2525C" w:rsidRDefault="00D9153D" w:rsidP="00BB2E94">
            <w:pPr>
              <w:spacing w:before="40" w:after="40"/>
              <w:ind w:left="100" w:right="100"/>
              <w:rPr>
                <w:rFonts w:cs="Arial"/>
              </w:rPr>
            </w:pPr>
            <w:r w:rsidRPr="00B2525C">
              <w:rPr>
                <w:rFonts w:eastAsia="Arial" w:cs="Arial"/>
                <w:b/>
                <w:color w:val="111111"/>
              </w:rPr>
              <w:t>MCH</w:t>
            </w:r>
          </w:p>
        </w:tc>
        <w:tc>
          <w:tcPr>
            <w:tcW w:w="1218" w:type="dxa"/>
            <w:tcBorders>
              <w:top w:val="single" w:sz="8" w:space="0" w:color="333333"/>
            </w:tcBorders>
            <w:shd w:val="clear" w:color="auto" w:fill="FFFFFF"/>
            <w:tcMar>
              <w:top w:w="0" w:type="dxa"/>
              <w:left w:w="0" w:type="dxa"/>
              <w:bottom w:w="0" w:type="dxa"/>
              <w:right w:w="0" w:type="dxa"/>
            </w:tcMar>
            <w:vAlign w:val="center"/>
          </w:tcPr>
          <w:p w14:paraId="29DD1345" w14:textId="77777777" w:rsidR="00D9153D" w:rsidRPr="00B2525C" w:rsidRDefault="00D9153D" w:rsidP="00BB2E94">
            <w:pPr>
              <w:spacing w:before="40" w:after="40"/>
              <w:ind w:left="100" w:right="100"/>
              <w:jc w:val="right"/>
              <w:rPr>
                <w:rFonts w:cs="Arial"/>
              </w:rPr>
            </w:pPr>
            <w:r w:rsidRPr="00B2525C">
              <w:rPr>
                <w:rFonts w:eastAsia="Arial" w:cs="Arial"/>
                <w:b/>
                <w:color w:val="111111"/>
              </w:rPr>
              <w:t>2015-16</w:t>
            </w:r>
          </w:p>
        </w:tc>
        <w:tc>
          <w:tcPr>
            <w:tcW w:w="1218" w:type="dxa"/>
            <w:tcBorders>
              <w:top w:val="single" w:sz="8" w:space="0" w:color="333333"/>
            </w:tcBorders>
            <w:shd w:val="clear" w:color="auto" w:fill="FFFFFF"/>
            <w:tcMar>
              <w:top w:w="0" w:type="dxa"/>
              <w:left w:w="0" w:type="dxa"/>
              <w:bottom w:w="0" w:type="dxa"/>
              <w:right w:w="0" w:type="dxa"/>
            </w:tcMar>
            <w:vAlign w:val="center"/>
          </w:tcPr>
          <w:p w14:paraId="2138F823" w14:textId="77777777" w:rsidR="00D9153D" w:rsidRPr="00B2525C" w:rsidRDefault="00D9153D" w:rsidP="00BB2E94">
            <w:pPr>
              <w:spacing w:before="40" w:after="40"/>
              <w:ind w:left="100" w:right="100"/>
              <w:jc w:val="right"/>
              <w:rPr>
                <w:rFonts w:cs="Arial"/>
              </w:rPr>
            </w:pPr>
            <w:r w:rsidRPr="00B2525C">
              <w:rPr>
                <w:rFonts w:eastAsia="Arial" w:cs="Arial"/>
                <w:b/>
                <w:color w:val="111111"/>
              </w:rPr>
              <w:t>2016-17</w:t>
            </w:r>
          </w:p>
        </w:tc>
        <w:tc>
          <w:tcPr>
            <w:tcW w:w="1218" w:type="dxa"/>
            <w:tcBorders>
              <w:top w:val="single" w:sz="8" w:space="0" w:color="333333"/>
            </w:tcBorders>
            <w:shd w:val="clear" w:color="auto" w:fill="FFFFFF"/>
            <w:tcMar>
              <w:top w:w="0" w:type="dxa"/>
              <w:left w:w="0" w:type="dxa"/>
              <w:bottom w:w="0" w:type="dxa"/>
              <w:right w:w="0" w:type="dxa"/>
            </w:tcMar>
            <w:vAlign w:val="center"/>
          </w:tcPr>
          <w:p w14:paraId="219427CA" w14:textId="77777777" w:rsidR="00D9153D" w:rsidRPr="00B2525C" w:rsidRDefault="00D9153D" w:rsidP="00BB2E94">
            <w:pPr>
              <w:spacing w:before="40" w:after="40"/>
              <w:ind w:left="100" w:right="100"/>
              <w:jc w:val="right"/>
              <w:rPr>
                <w:rFonts w:cs="Arial"/>
              </w:rPr>
            </w:pPr>
            <w:r w:rsidRPr="00B2525C">
              <w:rPr>
                <w:rFonts w:eastAsia="Arial" w:cs="Arial"/>
                <w:b/>
                <w:color w:val="111111"/>
              </w:rPr>
              <w:t>2017-18</w:t>
            </w:r>
          </w:p>
        </w:tc>
        <w:tc>
          <w:tcPr>
            <w:tcW w:w="1218" w:type="dxa"/>
            <w:tcBorders>
              <w:top w:val="single" w:sz="8" w:space="0" w:color="333333"/>
            </w:tcBorders>
            <w:shd w:val="clear" w:color="auto" w:fill="FFFFFF"/>
            <w:tcMar>
              <w:top w:w="0" w:type="dxa"/>
              <w:left w:w="0" w:type="dxa"/>
              <w:bottom w:w="0" w:type="dxa"/>
              <w:right w:w="0" w:type="dxa"/>
            </w:tcMar>
            <w:vAlign w:val="center"/>
          </w:tcPr>
          <w:p w14:paraId="4BC73863" w14:textId="77777777" w:rsidR="00D9153D" w:rsidRPr="00B2525C" w:rsidRDefault="00D9153D" w:rsidP="00BB2E94">
            <w:pPr>
              <w:spacing w:before="40" w:after="40"/>
              <w:ind w:left="100" w:right="100"/>
              <w:jc w:val="right"/>
              <w:rPr>
                <w:rFonts w:cs="Arial"/>
              </w:rPr>
            </w:pPr>
            <w:r w:rsidRPr="00B2525C">
              <w:rPr>
                <w:rFonts w:eastAsia="Arial" w:cs="Arial"/>
                <w:b/>
                <w:color w:val="111111"/>
              </w:rPr>
              <w:t>2018-19</w:t>
            </w:r>
          </w:p>
        </w:tc>
        <w:tc>
          <w:tcPr>
            <w:tcW w:w="1218" w:type="dxa"/>
            <w:tcBorders>
              <w:top w:val="single" w:sz="8" w:space="0" w:color="333333"/>
            </w:tcBorders>
            <w:shd w:val="clear" w:color="auto" w:fill="FFFFFF"/>
            <w:tcMar>
              <w:top w:w="0" w:type="dxa"/>
              <w:left w:w="0" w:type="dxa"/>
              <w:bottom w:w="0" w:type="dxa"/>
              <w:right w:w="0" w:type="dxa"/>
            </w:tcMar>
            <w:vAlign w:val="center"/>
          </w:tcPr>
          <w:p w14:paraId="34CB1D29" w14:textId="77777777" w:rsidR="00D9153D" w:rsidRPr="00B2525C" w:rsidRDefault="00D9153D" w:rsidP="00BB2E94">
            <w:pPr>
              <w:spacing w:before="40" w:after="40"/>
              <w:ind w:left="100" w:right="100"/>
              <w:jc w:val="right"/>
              <w:rPr>
                <w:rFonts w:cs="Arial"/>
              </w:rPr>
            </w:pPr>
            <w:r w:rsidRPr="00B2525C">
              <w:rPr>
                <w:rFonts w:eastAsia="Arial" w:cs="Arial"/>
                <w:b/>
                <w:color w:val="111111"/>
              </w:rPr>
              <w:t>2019-20</w:t>
            </w:r>
          </w:p>
        </w:tc>
      </w:tr>
      <w:tr w:rsidR="00D9153D" w:rsidRPr="00B2525C" w14:paraId="376D4111" w14:textId="77777777" w:rsidTr="005F2779">
        <w:trPr>
          <w:cantSplit/>
          <w:jc w:val="center"/>
        </w:trPr>
        <w:tc>
          <w:tcPr>
            <w:tcW w:w="2147" w:type="dxa"/>
            <w:shd w:val="clear" w:color="auto" w:fill="FFFFFF"/>
            <w:tcMar>
              <w:top w:w="0" w:type="dxa"/>
              <w:left w:w="0" w:type="dxa"/>
              <w:bottom w:w="0" w:type="dxa"/>
              <w:right w:w="0" w:type="dxa"/>
            </w:tcMar>
            <w:vAlign w:val="center"/>
          </w:tcPr>
          <w:p w14:paraId="4B16A674" w14:textId="77777777" w:rsidR="00D9153D" w:rsidRPr="00B2525C" w:rsidRDefault="00D9153D" w:rsidP="00BB2E94">
            <w:pPr>
              <w:spacing w:before="40" w:after="40"/>
              <w:ind w:left="100" w:right="100"/>
              <w:rPr>
                <w:rFonts w:cs="Arial"/>
              </w:rPr>
            </w:pPr>
            <w:r w:rsidRPr="00B2525C">
              <w:rPr>
                <w:rFonts w:eastAsia="Arial" w:cs="Arial"/>
                <w:color w:val="111111"/>
              </w:rPr>
              <w:t>Aberfeldie</w:t>
            </w:r>
          </w:p>
        </w:tc>
        <w:tc>
          <w:tcPr>
            <w:tcW w:w="1218" w:type="dxa"/>
            <w:shd w:val="clear" w:color="auto" w:fill="FFFFFF"/>
            <w:tcMar>
              <w:top w:w="0" w:type="dxa"/>
              <w:left w:w="0" w:type="dxa"/>
              <w:bottom w:w="0" w:type="dxa"/>
              <w:right w:w="0" w:type="dxa"/>
            </w:tcMar>
            <w:vAlign w:val="center"/>
          </w:tcPr>
          <w:p w14:paraId="3EFC9C90" w14:textId="77777777" w:rsidR="00D9153D" w:rsidRPr="00B2525C" w:rsidRDefault="00D9153D" w:rsidP="00BB2E94">
            <w:pPr>
              <w:spacing w:before="40" w:after="40"/>
              <w:ind w:left="100" w:right="100"/>
              <w:jc w:val="right"/>
              <w:rPr>
                <w:rFonts w:cs="Arial"/>
              </w:rPr>
            </w:pPr>
            <w:r w:rsidRPr="00B2525C">
              <w:rPr>
                <w:rFonts w:eastAsia="Arial" w:cs="Arial"/>
                <w:color w:val="111111"/>
              </w:rPr>
              <w:t>96</w:t>
            </w:r>
          </w:p>
        </w:tc>
        <w:tc>
          <w:tcPr>
            <w:tcW w:w="1218" w:type="dxa"/>
            <w:shd w:val="clear" w:color="auto" w:fill="FFFFFF"/>
            <w:tcMar>
              <w:top w:w="0" w:type="dxa"/>
              <w:left w:w="0" w:type="dxa"/>
              <w:bottom w:w="0" w:type="dxa"/>
              <w:right w:w="0" w:type="dxa"/>
            </w:tcMar>
            <w:vAlign w:val="center"/>
          </w:tcPr>
          <w:p w14:paraId="7C0F13C7" w14:textId="77777777" w:rsidR="00D9153D" w:rsidRPr="00B2525C" w:rsidRDefault="00D9153D" w:rsidP="00BB2E94">
            <w:pPr>
              <w:spacing w:before="40" w:after="40"/>
              <w:ind w:left="100" w:right="100"/>
              <w:jc w:val="right"/>
              <w:rPr>
                <w:rFonts w:cs="Arial"/>
              </w:rPr>
            </w:pPr>
            <w:r w:rsidRPr="00B2525C">
              <w:rPr>
                <w:rFonts w:eastAsia="Arial" w:cs="Arial"/>
                <w:color w:val="111111"/>
              </w:rPr>
              <w:t>111</w:t>
            </w:r>
          </w:p>
        </w:tc>
        <w:tc>
          <w:tcPr>
            <w:tcW w:w="1218" w:type="dxa"/>
            <w:shd w:val="clear" w:color="auto" w:fill="FFFFFF"/>
            <w:tcMar>
              <w:top w:w="0" w:type="dxa"/>
              <w:left w:w="0" w:type="dxa"/>
              <w:bottom w:w="0" w:type="dxa"/>
              <w:right w:w="0" w:type="dxa"/>
            </w:tcMar>
            <w:vAlign w:val="center"/>
          </w:tcPr>
          <w:p w14:paraId="6976C6D5" w14:textId="77777777" w:rsidR="00D9153D" w:rsidRPr="00B2525C" w:rsidRDefault="00D9153D" w:rsidP="00BB2E94">
            <w:pPr>
              <w:spacing w:before="40" w:after="40"/>
              <w:ind w:left="100" w:right="100"/>
              <w:jc w:val="right"/>
              <w:rPr>
                <w:rFonts w:cs="Arial"/>
              </w:rPr>
            </w:pPr>
            <w:r w:rsidRPr="00B2525C">
              <w:rPr>
                <w:rFonts w:eastAsia="Arial" w:cs="Arial"/>
                <w:color w:val="111111"/>
              </w:rPr>
              <w:t>83</w:t>
            </w:r>
          </w:p>
        </w:tc>
        <w:tc>
          <w:tcPr>
            <w:tcW w:w="1218" w:type="dxa"/>
            <w:shd w:val="clear" w:color="auto" w:fill="FFFFFF"/>
            <w:tcMar>
              <w:top w:w="0" w:type="dxa"/>
              <w:left w:w="0" w:type="dxa"/>
              <w:bottom w:w="0" w:type="dxa"/>
              <w:right w:w="0" w:type="dxa"/>
            </w:tcMar>
            <w:vAlign w:val="center"/>
          </w:tcPr>
          <w:p w14:paraId="0CB6B7DE" w14:textId="77777777" w:rsidR="00D9153D" w:rsidRPr="00B2525C" w:rsidRDefault="00D9153D" w:rsidP="00BB2E94">
            <w:pPr>
              <w:spacing w:before="40" w:after="40"/>
              <w:ind w:left="100" w:right="100"/>
              <w:jc w:val="right"/>
              <w:rPr>
                <w:rFonts w:cs="Arial"/>
              </w:rPr>
            </w:pPr>
            <w:r w:rsidRPr="00B2525C">
              <w:rPr>
                <w:rFonts w:eastAsia="Arial" w:cs="Arial"/>
                <w:color w:val="111111"/>
              </w:rPr>
              <w:t>91</w:t>
            </w:r>
          </w:p>
        </w:tc>
        <w:tc>
          <w:tcPr>
            <w:tcW w:w="1218" w:type="dxa"/>
            <w:shd w:val="clear" w:color="auto" w:fill="FFFFFF"/>
            <w:tcMar>
              <w:top w:w="0" w:type="dxa"/>
              <w:left w:w="0" w:type="dxa"/>
              <w:bottom w:w="0" w:type="dxa"/>
              <w:right w:w="0" w:type="dxa"/>
            </w:tcMar>
            <w:vAlign w:val="center"/>
          </w:tcPr>
          <w:p w14:paraId="58B874FF" w14:textId="77777777" w:rsidR="00D9153D" w:rsidRPr="00B2525C" w:rsidRDefault="00D9153D" w:rsidP="00BB2E94">
            <w:pPr>
              <w:spacing w:before="40" w:after="40"/>
              <w:ind w:left="100" w:right="100"/>
              <w:jc w:val="right"/>
              <w:rPr>
                <w:rFonts w:cs="Arial"/>
              </w:rPr>
            </w:pPr>
            <w:r w:rsidRPr="00B2525C">
              <w:rPr>
                <w:rFonts w:eastAsia="Arial" w:cs="Arial"/>
                <w:color w:val="111111"/>
              </w:rPr>
              <w:t>99</w:t>
            </w:r>
          </w:p>
        </w:tc>
      </w:tr>
      <w:tr w:rsidR="00D9153D" w:rsidRPr="00B2525C" w14:paraId="29017404" w14:textId="77777777" w:rsidTr="005F2779">
        <w:trPr>
          <w:cantSplit/>
          <w:jc w:val="center"/>
        </w:trPr>
        <w:tc>
          <w:tcPr>
            <w:tcW w:w="2147" w:type="dxa"/>
            <w:shd w:val="clear" w:color="auto" w:fill="FFFFFF"/>
            <w:tcMar>
              <w:top w:w="0" w:type="dxa"/>
              <w:left w:w="0" w:type="dxa"/>
              <w:bottom w:w="0" w:type="dxa"/>
              <w:right w:w="0" w:type="dxa"/>
            </w:tcMar>
            <w:vAlign w:val="center"/>
          </w:tcPr>
          <w:p w14:paraId="7565E843" w14:textId="77777777" w:rsidR="00D9153D" w:rsidRPr="00B2525C" w:rsidRDefault="00D9153D" w:rsidP="00BB2E94">
            <w:pPr>
              <w:spacing w:before="40" w:after="40"/>
              <w:ind w:left="100" w:right="100"/>
              <w:rPr>
                <w:rFonts w:cs="Arial"/>
              </w:rPr>
            </w:pPr>
            <w:r w:rsidRPr="00B2525C">
              <w:rPr>
                <w:rFonts w:eastAsia="Arial" w:cs="Arial"/>
                <w:color w:val="111111"/>
              </w:rPr>
              <w:t>Airport West</w:t>
            </w:r>
          </w:p>
        </w:tc>
        <w:tc>
          <w:tcPr>
            <w:tcW w:w="1218" w:type="dxa"/>
            <w:shd w:val="clear" w:color="auto" w:fill="FFFFFF"/>
            <w:tcMar>
              <w:top w:w="0" w:type="dxa"/>
              <w:left w:w="0" w:type="dxa"/>
              <w:bottom w:w="0" w:type="dxa"/>
              <w:right w:w="0" w:type="dxa"/>
            </w:tcMar>
            <w:vAlign w:val="center"/>
          </w:tcPr>
          <w:p w14:paraId="618C504B" w14:textId="77777777" w:rsidR="00D9153D" w:rsidRPr="00B2525C" w:rsidRDefault="00D9153D" w:rsidP="00BB2E94">
            <w:pPr>
              <w:spacing w:before="40" w:after="40"/>
              <w:ind w:left="100" w:right="100"/>
              <w:jc w:val="right"/>
              <w:rPr>
                <w:rFonts w:cs="Arial"/>
              </w:rPr>
            </w:pPr>
            <w:r w:rsidRPr="00B2525C">
              <w:rPr>
                <w:rFonts w:eastAsia="Arial" w:cs="Arial"/>
                <w:color w:val="111111"/>
              </w:rPr>
              <w:t>116</w:t>
            </w:r>
          </w:p>
        </w:tc>
        <w:tc>
          <w:tcPr>
            <w:tcW w:w="1218" w:type="dxa"/>
            <w:shd w:val="clear" w:color="auto" w:fill="FFFFFF"/>
            <w:tcMar>
              <w:top w:w="0" w:type="dxa"/>
              <w:left w:w="0" w:type="dxa"/>
              <w:bottom w:w="0" w:type="dxa"/>
              <w:right w:w="0" w:type="dxa"/>
            </w:tcMar>
            <w:vAlign w:val="center"/>
          </w:tcPr>
          <w:p w14:paraId="5EF1341F" w14:textId="77777777" w:rsidR="00D9153D" w:rsidRPr="00B2525C" w:rsidRDefault="00D9153D" w:rsidP="00BB2E94">
            <w:pPr>
              <w:spacing w:before="40" w:after="40"/>
              <w:ind w:left="100" w:right="100"/>
              <w:jc w:val="right"/>
              <w:rPr>
                <w:rFonts w:cs="Arial"/>
              </w:rPr>
            </w:pPr>
            <w:r w:rsidRPr="00B2525C">
              <w:rPr>
                <w:rFonts w:eastAsia="Arial" w:cs="Arial"/>
                <w:color w:val="111111"/>
              </w:rPr>
              <w:t>116</w:t>
            </w:r>
          </w:p>
        </w:tc>
        <w:tc>
          <w:tcPr>
            <w:tcW w:w="1218" w:type="dxa"/>
            <w:shd w:val="clear" w:color="auto" w:fill="FFFFFF"/>
            <w:tcMar>
              <w:top w:w="0" w:type="dxa"/>
              <w:left w:w="0" w:type="dxa"/>
              <w:bottom w:w="0" w:type="dxa"/>
              <w:right w:w="0" w:type="dxa"/>
            </w:tcMar>
            <w:vAlign w:val="center"/>
          </w:tcPr>
          <w:p w14:paraId="66697229" w14:textId="77777777" w:rsidR="00D9153D" w:rsidRPr="00B2525C" w:rsidRDefault="00D9153D" w:rsidP="00BB2E94">
            <w:pPr>
              <w:spacing w:before="40" w:after="40"/>
              <w:ind w:left="100" w:right="100"/>
              <w:jc w:val="right"/>
              <w:rPr>
                <w:rFonts w:cs="Arial"/>
              </w:rPr>
            </w:pPr>
            <w:r w:rsidRPr="00B2525C">
              <w:rPr>
                <w:rFonts w:eastAsia="Arial" w:cs="Arial"/>
                <w:color w:val="111111"/>
              </w:rPr>
              <w:t>132</w:t>
            </w:r>
          </w:p>
        </w:tc>
        <w:tc>
          <w:tcPr>
            <w:tcW w:w="1218" w:type="dxa"/>
            <w:shd w:val="clear" w:color="auto" w:fill="FFFFFF"/>
            <w:tcMar>
              <w:top w:w="0" w:type="dxa"/>
              <w:left w:w="0" w:type="dxa"/>
              <w:bottom w:w="0" w:type="dxa"/>
              <w:right w:w="0" w:type="dxa"/>
            </w:tcMar>
            <w:vAlign w:val="center"/>
          </w:tcPr>
          <w:p w14:paraId="764D741F" w14:textId="77777777" w:rsidR="00D9153D" w:rsidRPr="00B2525C" w:rsidRDefault="00D9153D" w:rsidP="00BB2E94">
            <w:pPr>
              <w:spacing w:before="40" w:after="40"/>
              <w:ind w:left="100" w:right="100"/>
              <w:jc w:val="right"/>
              <w:rPr>
                <w:rFonts w:cs="Arial"/>
              </w:rPr>
            </w:pPr>
            <w:r w:rsidRPr="00B2525C">
              <w:rPr>
                <w:rFonts w:eastAsia="Arial" w:cs="Arial"/>
                <w:color w:val="111111"/>
              </w:rPr>
              <w:t>122</w:t>
            </w:r>
          </w:p>
        </w:tc>
        <w:tc>
          <w:tcPr>
            <w:tcW w:w="1218" w:type="dxa"/>
            <w:shd w:val="clear" w:color="auto" w:fill="FFFFFF"/>
            <w:tcMar>
              <w:top w:w="0" w:type="dxa"/>
              <w:left w:w="0" w:type="dxa"/>
              <w:bottom w:w="0" w:type="dxa"/>
              <w:right w:w="0" w:type="dxa"/>
            </w:tcMar>
            <w:vAlign w:val="center"/>
          </w:tcPr>
          <w:p w14:paraId="146CB250" w14:textId="77777777" w:rsidR="00D9153D" w:rsidRPr="00B2525C" w:rsidRDefault="00D9153D" w:rsidP="00BB2E94">
            <w:pPr>
              <w:spacing w:before="40" w:after="40"/>
              <w:ind w:left="100" w:right="100"/>
              <w:jc w:val="right"/>
              <w:rPr>
                <w:rFonts w:cs="Arial"/>
              </w:rPr>
            </w:pPr>
            <w:r w:rsidRPr="00B2525C">
              <w:rPr>
                <w:rFonts w:eastAsia="Arial" w:cs="Arial"/>
                <w:color w:val="111111"/>
              </w:rPr>
              <w:t>130</w:t>
            </w:r>
          </w:p>
        </w:tc>
      </w:tr>
      <w:tr w:rsidR="00D9153D" w:rsidRPr="00B2525C" w14:paraId="31D49A53" w14:textId="77777777" w:rsidTr="005F2779">
        <w:trPr>
          <w:cantSplit/>
          <w:jc w:val="center"/>
        </w:trPr>
        <w:tc>
          <w:tcPr>
            <w:tcW w:w="2147" w:type="dxa"/>
            <w:shd w:val="clear" w:color="auto" w:fill="FFFFFF"/>
            <w:tcMar>
              <w:top w:w="0" w:type="dxa"/>
              <w:left w:w="0" w:type="dxa"/>
              <w:bottom w:w="0" w:type="dxa"/>
              <w:right w:w="0" w:type="dxa"/>
            </w:tcMar>
            <w:vAlign w:val="center"/>
          </w:tcPr>
          <w:p w14:paraId="37CC85D6" w14:textId="77777777" w:rsidR="00D9153D" w:rsidRPr="00B2525C" w:rsidRDefault="00D9153D" w:rsidP="00BB2E94">
            <w:pPr>
              <w:spacing w:before="40" w:after="40"/>
              <w:ind w:left="100" w:right="100"/>
              <w:rPr>
                <w:rFonts w:cs="Arial"/>
              </w:rPr>
            </w:pPr>
            <w:r w:rsidRPr="00B2525C">
              <w:rPr>
                <w:rFonts w:eastAsia="Arial" w:cs="Arial"/>
                <w:color w:val="111111"/>
              </w:rPr>
              <w:t>Ascot Vale</w:t>
            </w:r>
          </w:p>
        </w:tc>
        <w:tc>
          <w:tcPr>
            <w:tcW w:w="1218" w:type="dxa"/>
            <w:shd w:val="clear" w:color="auto" w:fill="FFFFFF"/>
            <w:tcMar>
              <w:top w:w="0" w:type="dxa"/>
              <w:left w:w="0" w:type="dxa"/>
              <w:bottom w:w="0" w:type="dxa"/>
              <w:right w:w="0" w:type="dxa"/>
            </w:tcMar>
            <w:vAlign w:val="center"/>
          </w:tcPr>
          <w:p w14:paraId="3C37280D" w14:textId="77777777" w:rsidR="00D9153D" w:rsidRPr="00B2525C" w:rsidRDefault="00D9153D" w:rsidP="00BB2E94">
            <w:pPr>
              <w:spacing w:before="40" w:after="40"/>
              <w:ind w:left="100" w:right="100"/>
              <w:jc w:val="right"/>
              <w:rPr>
                <w:rFonts w:cs="Arial"/>
              </w:rPr>
            </w:pPr>
            <w:r w:rsidRPr="00B2525C">
              <w:rPr>
                <w:rFonts w:eastAsia="Arial" w:cs="Arial"/>
                <w:color w:val="111111"/>
              </w:rPr>
              <w:t>154</w:t>
            </w:r>
          </w:p>
        </w:tc>
        <w:tc>
          <w:tcPr>
            <w:tcW w:w="1218" w:type="dxa"/>
            <w:shd w:val="clear" w:color="auto" w:fill="FFFFFF"/>
            <w:tcMar>
              <w:top w:w="0" w:type="dxa"/>
              <w:left w:w="0" w:type="dxa"/>
              <w:bottom w:w="0" w:type="dxa"/>
              <w:right w:w="0" w:type="dxa"/>
            </w:tcMar>
            <w:vAlign w:val="center"/>
          </w:tcPr>
          <w:p w14:paraId="2B08553D" w14:textId="77777777" w:rsidR="00D9153D" w:rsidRPr="00B2525C" w:rsidRDefault="00D9153D" w:rsidP="00BB2E94">
            <w:pPr>
              <w:spacing w:before="40" w:after="40"/>
              <w:ind w:left="100" w:right="100"/>
              <w:jc w:val="right"/>
              <w:rPr>
                <w:rFonts w:cs="Arial"/>
              </w:rPr>
            </w:pPr>
            <w:r w:rsidRPr="00B2525C">
              <w:rPr>
                <w:rFonts w:eastAsia="Arial" w:cs="Arial"/>
                <w:color w:val="111111"/>
              </w:rPr>
              <w:t>161</w:t>
            </w:r>
          </w:p>
        </w:tc>
        <w:tc>
          <w:tcPr>
            <w:tcW w:w="1218" w:type="dxa"/>
            <w:shd w:val="clear" w:color="auto" w:fill="FFFFFF"/>
            <w:tcMar>
              <w:top w:w="0" w:type="dxa"/>
              <w:left w:w="0" w:type="dxa"/>
              <w:bottom w:w="0" w:type="dxa"/>
              <w:right w:w="0" w:type="dxa"/>
            </w:tcMar>
            <w:vAlign w:val="center"/>
          </w:tcPr>
          <w:p w14:paraId="79BAC8D1" w14:textId="77777777" w:rsidR="00D9153D" w:rsidRPr="00B2525C" w:rsidRDefault="00D9153D" w:rsidP="00BB2E94">
            <w:pPr>
              <w:spacing w:before="40" w:after="40"/>
              <w:ind w:left="100" w:right="100"/>
              <w:jc w:val="right"/>
              <w:rPr>
                <w:rFonts w:cs="Arial"/>
              </w:rPr>
            </w:pPr>
            <w:r w:rsidRPr="00B2525C">
              <w:rPr>
                <w:rFonts w:eastAsia="Arial" w:cs="Arial"/>
                <w:color w:val="111111"/>
              </w:rPr>
              <w:t>176</w:t>
            </w:r>
          </w:p>
        </w:tc>
        <w:tc>
          <w:tcPr>
            <w:tcW w:w="1218" w:type="dxa"/>
            <w:shd w:val="clear" w:color="auto" w:fill="FFFFFF"/>
            <w:tcMar>
              <w:top w:w="0" w:type="dxa"/>
              <w:left w:w="0" w:type="dxa"/>
              <w:bottom w:w="0" w:type="dxa"/>
              <w:right w:w="0" w:type="dxa"/>
            </w:tcMar>
            <w:vAlign w:val="center"/>
          </w:tcPr>
          <w:p w14:paraId="0DB6FAF5" w14:textId="77777777" w:rsidR="00D9153D" w:rsidRPr="00B2525C" w:rsidRDefault="00D9153D" w:rsidP="00BB2E94">
            <w:pPr>
              <w:spacing w:before="40" w:after="40"/>
              <w:ind w:left="100" w:right="100"/>
              <w:jc w:val="right"/>
              <w:rPr>
                <w:rFonts w:cs="Arial"/>
              </w:rPr>
            </w:pPr>
            <w:r w:rsidRPr="00B2525C">
              <w:rPr>
                <w:rFonts w:eastAsia="Arial" w:cs="Arial"/>
                <w:color w:val="111111"/>
              </w:rPr>
              <w:t>161</w:t>
            </w:r>
          </w:p>
        </w:tc>
        <w:tc>
          <w:tcPr>
            <w:tcW w:w="1218" w:type="dxa"/>
            <w:shd w:val="clear" w:color="auto" w:fill="FFFFFF"/>
            <w:tcMar>
              <w:top w:w="0" w:type="dxa"/>
              <w:left w:w="0" w:type="dxa"/>
              <w:bottom w:w="0" w:type="dxa"/>
              <w:right w:w="0" w:type="dxa"/>
            </w:tcMar>
            <w:vAlign w:val="center"/>
          </w:tcPr>
          <w:p w14:paraId="3FC63463" w14:textId="77777777" w:rsidR="00D9153D" w:rsidRPr="00B2525C" w:rsidRDefault="00D9153D" w:rsidP="00BB2E94">
            <w:pPr>
              <w:spacing w:before="40" w:after="40"/>
              <w:ind w:left="100" w:right="100"/>
              <w:jc w:val="right"/>
              <w:rPr>
                <w:rFonts w:cs="Arial"/>
              </w:rPr>
            </w:pPr>
            <w:r w:rsidRPr="00B2525C">
              <w:rPr>
                <w:rFonts w:eastAsia="Arial" w:cs="Arial"/>
                <w:color w:val="111111"/>
              </w:rPr>
              <w:t>150</w:t>
            </w:r>
          </w:p>
        </w:tc>
      </w:tr>
      <w:tr w:rsidR="00D9153D" w:rsidRPr="00B2525C" w14:paraId="4DDD778C" w14:textId="77777777" w:rsidTr="005F2779">
        <w:trPr>
          <w:cantSplit/>
          <w:jc w:val="center"/>
        </w:trPr>
        <w:tc>
          <w:tcPr>
            <w:tcW w:w="2147" w:type="dxa"/>
            <w:shd w:val="clear" w:color="auto" w:fill="FFFFFF"/>
            <w:tcMar>
              <w:top w:w="0" w:type="dxa"/>
              <w:left w:w="0" w:type="dxa"/>
              <w:bottom w:w="0" w:type="dxa"/>
              <w:right w:w="0" w:type="dxa"/>
            </w:tcMar>
            <w:vAlign w:val="center"/>
          </w:tcPr>
          <w:p w14:paraId="44312C42" w14:textId="77777777" w:rsidR="00D9153D" w:rsidRPr="00B2525C" w:rsidRDefault="00D9153D" w:rsidP="00BB2E94">
            <w:pPr>
              <w:spacing w:before="40" w:after="40"/>
              <w:ind w:left="100" w:right="100"/>
              <w:rPr>
                <w:rFonts w:cs="Arial"/>
              </w:rPr>
            </w:pPr>
            <w:r w:rsidRPr="00B2525C">
              <w:rPr>
                <w:rFonts w:eastAsia="Arial" w:cs="Arial"/>
                <w:color w:val="111111"/>
              </w:rPr>
              <w:t>Avondale Heights</w:t>
            </w:r>
          </w:p>
        </w:tc>
        <w:tc>
          <w:tcPr>
            <w:tcW w:w="1218" w:type="dxa"/>
            <w:shd w:val="clear" w:color="auto" w:fill="FFFFFF"/>
            <w:tcMar>
              <w:top w:w="0" w:type="dxa"/>
              <w:left w:w="0" w:type="dxa"/>
              <w:bottom w:w="0" w:type="dxa"/>
              <w:right w:w="0" w:type="dxa"/>
            </w:tcMar>
            <w:vAlign w:val="center"/>
          </w:tcPr>
          <w:p w14:paraId="2D7BAC1B" w14:textId="77777777" w:rsidR="00D9153D" w:rsidRPr="00B2525C" w:rsidRDefault="00D9153D" w:rsidP="00BB2E94">
            <w:pPr>
              <w:spacing w:before="40" w:after="40"/>
              <w:ind w:left="100" w:right="100"/>
              <w:jc w:val="right"/>
              <w:rPr>
                <w:rFonts w:cs="Arial"/>
              </w:rPr>
            </w:pPr>
            <w:r w:rsidRPr="00B2525C">
              <w:rPr>
                <w:rFonts w:eastAsia="Arial" w:cs="Arial"/>
                <w:color w:val="111111"/>
              </w:rPr>
              <w:t>147</w:t>
            </w:r>
          </w:p>
        </w:tc>
        <w:tc>
          <w:tcPr>
            <w:tcW w:w="1218" w:type="dxa"/>
            <w:shd w:val="clear" w:color="auto" w:fill="FFFFFF"/>
            <w:tcMar>
              <w:top w:w="0" w:type="dxa"/>
              <w:left w:w="0" w:type="dxa"/>
              <w:bottom w:w="0" w:type="dxa"/>
              <w:right w:w="0" w:type="dxa"/>
            </w:tcMar>
            <w:vAlign w:val="center"/>
          </w:tcPr>
          <w:p w14:paraId="7C865043" w14:textId="77777777" w:rsidR="00D9153D" w:rsidRPr="00B2525C" w:rsidRDefault="00D9153D" w:rsidP="00BB2E94">
            <w:pPr>
              <w:spacing w:before="40" w:after="40"/>
              <w:ind w:left="100" w:right="100"/>
              <w:jc w:val="right"/>
              <w:rPr>
                <w:rFonts w:cs="Arial"/>
              </w:rPr>
            </w:pPr>
            <w:r w:rsidRPr="00B2525C">
              <w:rPr>
                <w:rFonts w:eastAsia="Arial" w:cs="Arial"/>
                <w:color w:val="111111"/>
              </w:rPr>
              <w:t>124</w:t>
            </w:r>
          </w:p>
        </w:tc>
        <w:tc>
          <w:tcPr>
            <w:tcW w:w="1218" w:type="dxa"/>
            <w:shd w:val="clear" w:color="auto" w:fill="FFFFFF"/>
            <w:tcMar>
              <w:top w:w="0" w:type="dxa"/>
              <w:left w:w="0" w:type="dxa"/>
              <w:bottom w:w="0" w:type="dxa"/>
              <w:right w:w="0" w:type="dxa"/>
            </w:tcMar>
            <w:vAlign w:val="center"/>
          </w:tcPr>
          <w:p w14:paraId="47C20CFB" w14:textId="77777777" w:rsidR="00D9153D" w:rsidRPr="00B2525C" w:rsidRDefault="00D9153D" w:rsidP="00BB2E94">
            <w:pPr>
              <w:spacing w:before="40" w:after="40"/>
              <w:ind w:left="100" w:right="100"/>
              <w:jc w:val="right"/>
              <w:rPr>
                <w:rFonts w:cs="Arial"/>
              </w:rPr>
            </w:pPr>
            <w:r w:rsidRPr="00B2525C">
              <w:rPr>
                <w:rFonts w:eastAsia="Arial" w:cs="Arial"/>
                <w:color w:val="111111"/>
              </w:rPr>
              <w:t>124</w:t>
            </w:r>
          </w:p>
        </w:tc>
        <w:tc>
          <w:tcPr>
            <w:tcW w:w="1218" w:type="dxa"/>
            <w:shd w:val="clear" w:color="auto" w:fill="FFFFFF"/>
            <w:tcMar>
              <w:top w:w="0" w:type="dxa"/>
              <w:left w:w="0" w:type="dxa"/>
              <w:bottom w:w="0" w:type="dxa"/>
              <w:right w:w="0" w:type="dxa"/>
            </w:tcMar>
            <w:vAlign w:val="center"/>
          </w:tcPr>
          <w:p w14:paraId="7A78CFB9" w14:textId="77777777" w:rsidR="00D9153D" w:rsidRPr="00B2525C" w:rsidRDefault="00D9153D" w:rsidP="00BB2E94">
            <w:pPr>
              <w:spacing w:before="40" w:after="40"/>
              <w:ind w:left="100" w:right="100"/>
              <w:jc w:val="right"/>
              <w:rPr>
                <w:rFonts w:cs="Arial"/>
              </w:rPr>
            </w:pPr>
            <w:r w:rsidRPr="00B2525C">
              <w:rPr>
                <w:rFonts w:eastAsia="Arial" w:cs="Arial"/>
                <w:color w:val="111111"/>
              </w:rPr>
              <w:t>125</w:t>
            </w:r>
          </w:p>
        </w:tc>
        <w:tc>
          <w:tcPr>
            <w:tcW w:w="1218" w:type="dxa"/>
            <w:shd w:val="clear" w:color="auto" w:fill="FFFFFF"/>
            <w:tcMar>
              <w:top w:w="0" w:type="dxa"/>
              <w:left w:w="0" w:type="dxa"/>
              <w:bottom w:w="0" w:type="dxa"/>
              <w:right w:w="0" w:type="dxa"/>
            </w:tcMar>
            <w:vAlign w:val="center"/>
          </w:tcPr>
          <w:p w14:paraId="07C5E48C" w14:textId="77777777" w:rsidR="00D9153D" w:rsidRPr="00B2525C" w:rsidRDefault="00D9153D" w:rsidP="00BB2E94">
            <w:pPr>
              <w:spacing w:before="40" w:after="40"/>
              <w:ind w:left="100" w:right="100"/>
              <w:jc w:val="right"/>
              <w:rPr>
                <w:rFonts w:cs="Arial"/>
              </w:rPr>
            </w:pPr>
            <w:r w:rsidRPr="00B2525C">
              <w:rPr>
                <w:rFonts w:eastAsia="Arial" w:cs="Arial"/>
                <w:color w:val="111111"/>
              </w:rPr>
              <w:t>134</w:t>
            </w:r>
          </w:p>
        </w:tc>
      </w:tr>
      <w:tr w:rsidR="00D9153D" w:rsidRPr="00B2525C" w14:paraId="53F59BD4" w14:textId="77777777" w:rsidTr="005F2779">
        <w:trPr>
          <w:cantSplit/>
          <w:jc w:val="center"/>
        </w:trPr>
        <w:tc>
          <w:tcPr>
            <w:tcW w:w="2147" w:type="dxa"/>
            <w:shd w:val="clear" w:color="auto" w:fill="FFFFFF"/>
            <w:tcMar>
              <w:top w:w="0" w:type="dxa"/>
              <w:left w:w="0" w:type="dxa"/>
              <w:bottom w:w="0" w:type="dxa"/>
              <w:right w:w="0" w:type="dxa"/>
            </w:tcMar>
            <w:vAlign w:val="center"/>
          </w:tcPr>
          <w:p w14:paraId="44400189" w14:textId="77777777" w:rsidR="00D9153D" w:rsidRPr="00B2525C" w:rsidRDefault="00D9153D" w:rsidP="00BB2E94">
            <w:pPr>
              <w:spacing w:before="40" w:after="40"/>
              <w:ind w:left="100" w:right="100"/>
              <w:rPr>
                <w:rFonts w:cs="Arial"/>
              </w:rPr>
            </w:pPr>
            <w:r w:rsidRPr="00B2525C">
              <w:rPr>
                <w:rFonts w:eastAsia="Arial" w:cs="Arial"/>
                <w:color w:val="111111"/>
              </w:rPr>
              <w:t>Hopetoun</w:t>
            </w:r>
          </w:p>
        </w:tc>
        <w:tc>
          <w:tcPr>
            <w:tcW w:w="1218" w:type="dxa"/>
            <w:shd w:val="clear" w:color="auto" w:fill="FFFFFF"/>
            <w:tcMar>
              <w:top w:w="0" w:type="dxa"/>
              <w:left w:w="0" w:type="dxa"/>
              <w:bottom w:w="0" w:type="dxa"/>
              <w:right w:w="0" w:type="dxa"/>
            </w:tcMar>
            <w:vAlign w:val="center"/>
          </w:tcPr>
          <w:p w14:paraId="6687D024" w14:textId="77777777" w:rsidR="00D9153D" w:rsidRPr="00B2525C" w:rsidRDefault="00D9153D" w:rsidP="00BB2E94">
            <w:pPr>
              <w:spacing w:before="40" w:after="40"/>
              <w:ind w:left="100" w:right="100"/>
              <w:jc w:val="right"/>
              <w:rPr>
                <w:rFonts w:cs="Arial"/>
              </w:rPr>
            </w:pPr>
            <w:r w:rsidRPr="00B2525C">
              <w:rPr>
                <w:rFonts w:eastAsia="Arial" w:cs="Arial"/>
                <w:color w:val="111111"/>
              </w:rPr>
              <w:t>167</w:t>
            </w:r>
          </w:p>
        </w:tc>
        <w:tc>
          <w:tcPr>
            <w:tcW w:w="1218" w:type="dxa"/>
            <w:shd w:val="clear" w:color="auto" w:fill="FFFFFF"/>
            <w:tcMar>
              <w:top w:w="0" w:type="dxa"/>
              <w:left w:w="0" w:type="dxa"/>
              <w:bottom w:w="0" w:type="dxa"/>
              <w:right w:w="0" w:type="dxa"/>
            </w:tcMar>
            <w:vAlign w:val="center"/>
          </w:tcPr>
          <w:p w14:paraId="0348DA16" w14:textId="77777777" w:rsidR="00D9153D" w:rsidRPr="00B2525C" w:rsidRDefault="00D9153D" w:rsidP="00BB2E94">
            <w:pPr>
              <w:spacing w:before="40" w:after="40"/>
              <w:ind w:left="100" w:right="100"/>
              <w:jc w:val="right"/>
              <w:rPr>
                <w:rFonts w:cs="Arial"/>
              </w:rPr>
            </w:pPr>
            <w:r w:rsidRPr="00B2525C">
              <w:rPr>
                <w:rFonts w:eastAsia="Arial" w:cs="Arial"/>
                <w:color w:val="111111"/>
              </w:rPr>
              <w:t>167</w:t>
            </w:r>
          </w:p>
        </w:tc>
        <w:tc>
          <w:tcPr>
            <w:tcW w:w="1218" w:type="dxa"/>
            <w:shd w:val="clear" w:color="auto" w:fill="FFFFFF"/>
            <w:tcMar>
              <w:top w:w="0" w:type="dxa"/>
              <w:left w:w="0" w:type="dxa"/>
              <w:bottom w:w="0" w:type="dxa"/>
              <w:right w:w="0" w:type="dxa"/>
            </w:tcMar>
            <w:vAlign w:val="center"/>
          </w:tcPr>
          <w:p w14:paraId="1CE32BC7" w14:textId="77777777" w:rsidR="00D9153D" w:rsidRPr="00B2525C" w:rsidRDefault="00D9153D" w:rsidP="00BB2E94">
            <w:pPr>
              <w:spacing w:before="40" w:after="40"/>
              <w:ind w:left="100" w:right="100"/>
              <w:jc w:val="right"/>
              <w:rPr>
                <w:rFonts w:cs="Arial"/>
              </w:rPr>
            </w:pPr>
            <w:r w:rsidRPr="00B2525C">
              <w:rPr>
                <w:rFonts w:eastAsia="Arial" w:cs="Arial"/>
                <w:color w:val="111111"/>
              </w:rPr>
              <w:t>177</w:t>
            </w:r>
          </w:p>
        </w:tc>
        <w:tc>
          <w:tcPr>
            <w:tcW w:w="1218" w:type="dxa"/>
            <w:shd w:val="clear" w:color="auto" w:fill="FFFFFF"/>
            <w:tcMar>
              <w:top w:w="0" w:type="dxa"/>
              <w:left w:w="0" w:type="dxa"/>
              <w:bottom w:w="0" w:type="dxa"/>
              <w:right w:w="0" w:type="dxa"/>
            </w:tcMar>
            <w:vAlign w:val="center"/>
          </w:tcPr>
          <w:p w14:paraId="52132419" w14:textId="77777777" w:rsidR="00D9153D" w:rsidRPr="00B2525C" w:rsidRDefault="00D9153D" w:rsidP="00BB2E94">
            <w:pPr>
              <w:spacing w:before="40" w:after="40"/>
              <w:ind w:left="100" w:right="100"/>
              <w:jc w:val="right"/>
              <w:rPr>
                <w:rFonts w:cs="Arial"/>
              </w:rPr>
            </w:pPr>
            <w:r w:rsidRPr="00B2525C">
              <w:rPr>
                <w:rFonts w:eastAsia="Arial" w:cs="Arial"/>
                <w:color w:val="111111"/>
              </w:rPr>
              <w:t>162</w:t>
            </w:r>
          </w:p>
        </w:tc>
        <w:tc>
          <w:tcPr>
            <w:tcW w:w="1218" w:type="dxa"/>
            <w:shd w:val="clear" w:color="auto" w:fill="FFFFFF"/>
            <w:tcMar>
              <w:top w:w="0" w:type="dxa"/>
              <w:left w:w="0" w:type="dxa"/>
              <w:bottom w:w="0" w:type="dxa"/>
              <w:right w:w="0" w:type="dxa"/>
            </w:tcMar>
            <w:vAlign w:val="center"/>
          </w:tcPr>
          <w:p w14:paraId="435CA368" w14:textId="77777777" w:rsidR="00D9153D" w:rsidRPr="00B2525C" w:rsidRDefault="00D9153D" w:rsidP="00BB2E94">
            <w:pPr>
              <w:spacing w:before="40" w:after="40"/>
              <w:ind w:left="100" w:right="100"/>
              <w:jc w:val="right"/>
              <w:rPr>
                <w:rFonts w:cs="Arial"/>
              </w:rPr>
            </w:pPr>
            <w:r w:rsidRPr="00B2525C">
              <w:rPr>
                <w:rFonts w:eastAsia="Arial" w:cs="Arial"/>
                <w:color w:val="111111"/>
              </w:rPr>
              <w:t>152</w:t>
            </w:r>
          </w:p>
        </w:tc>
      </w:tr>
      <w:tr w:rsidR="00D9153D" w:rsidRPr="00B2525C" w14:paraId="57A1A0F4" w14:textId="77777777" w:rsidTr="005F2779">
        <w:trPr>
          <w:cantSplit/>
          <w:jc w:val="center"/>
        </w:trPr>
        <w:tc>
          <w:tcPr>
            <w:tcW w:w="2147" w:type="dxa"/>
            <w:shd w:val="clear" w:color="auto" w:fill="FFFFFF"/>
            <w:tcMar>
              <w:top w:w="0" w:type="dxa"/>
              <w:left w:w="0" w:type="dxa"/>
              <w:bottom w:w="0" w:type="dxa"/>
              <w:right w:w="0" w:type="dxa"/>
            </w:tcMar>
            <w:vAlign w:val="center"/>
          </w:tcPr>
          <w:p w14:paraId="1068060F" w14:textId="00B5B5A5" w:rsidR="00D9153D" w:rsidRPr="00B2525C" w:rsidRDefault="00A878D8" w:rsidP="00BB2E94">
            <w:pPr>
              <w:spacing w:before="40" w:after="40"/>
              <w:ind w:left="100" w:right="100"/>
              <w:rPr>
                <w:rFonts w:cs="Arial"/>
              </w:rPr>
            </w:pPr>
            <w:r>
              <w:rPr>
                <w:rFonts w:eastAsia="Arial" w:cs="Arial"/>
                <w:color w:val="111111"/>
              </w:rPr>
              <w:t xml:space="preserve">Milleara </w:t>
            </w:r>
          </w:p>
        </w:tc>
        <w:tc>
          <w:tcPr>
            <w:tcW w:w="1218" w:type="dxa"/>
            <w:shd w:val="clear" w:color="auto" w:fill="FFFFFF"/>
            <w:tcMar>
              <w:top w:w="0" w:type="dxa"/>
              <w:left w:w="0" w:type="dxa"/>
              <w:bottom w:w="0" w:type="dxa"/>
              <w:right w:w="0" w:type="dxa"/>
            </w:tcMar>
            <w:vAlign w:val="center"/>
          </w:tcPr>
          <w:p w14:paraId="01BD3276" w14:textId="77777777" w:rsidR="00D9153D" w:rsidRPr="00B2525C" w:rsidRDefault="00D9153D" w:rsidP="00BB2E94">
            <w:pPr>
              <w:spacing w:before="40" w:after="40"/>
              <w:ind w:left="100" w:right="100"/>
              <w:jc w:val="right"/>
              <w:rPr>
                <w:rFonts w:cs="Arial"/>
              </w:rPr>
            </w:pPr>
            <w:r w:rsidRPr="00B2525C">
              <w:rPr>
                <w:rFonts w:eastAsia="Arial" w:cs="Arial"/>
                <w:color w:val="111111"/>
              </w:rPr>
              <w:t>254</w:t>
            </w:r>
          </w:p>
        </w:tc>
        <w:tc>
          <w:tcPr>
            <w:tcW w:w="1218" w:type="dxa"/>
            <w:shd w:val="clear" w:color="auto" w:fill="FFFFFF"/>
            <w:tcMar>
              <w:top w:w="0" w:type="dxa"/>
              <w:left w:w="0" w:type="dxa"/>
              <w:bottom w:w="0" w:type="dxa"/>
              <w:right w:w="0" w:type="dxa"/>
            </w:tcMar>
            <w:vAlign w:val="center"/>
          </w:tcPr>
          <w:p w14:paraId="52459782" w14:textId="77777777" w:rsidR="00D9153D" w:rsidRPr="00B2525C" w:rsidRDefault="00D9153D" w:rsidP="00BB2E94">
            <w:pPr>
              <w:spacing w:before="40" w:after="40"/>
              <w:ind w:left="100" w:right="100"/>
              <w:jc w:val="right"/>
              <w:rPr>
                <w:rFonts w:cs="Arial"/>
              </w:rPr>
            </w:pPr>
            <w:r w:rsidRPr="00B2525C">
              <w:rPr>
                <w:rFonts w:eastAsia="Arial" w:cs="Arial"/>
                <w:color w:val="111111"/>
              </w:rPr>
              <w:t>227</w:t>
            </w:r>
          </w:p>
        </w:tc>
        <w:tc>
          <w:tcPr>
            <w:tcW w:w="1218" w:type="dxa"/>
            <w:shd w:val="clear" w:color="auto" w:fill="FFFFFF"/>
            <w:tcMar>
              <w:top w:w="0" w:type="dxa"/>
              <w:left w:w="0" w:type="dxa"/>
              <w:bottom w:w="0" w:type="dxa"/>
              <w:right w:w="0" w:type="dxa"/>
            </w:tcMar>
            <w:vAlign w:val="center"/>
          </w:tcPr>
          <w:p w14:paraId="52D22A5F" w14:textId="77777777" w:rsidR="00D9153D" w:rsidRPr="00B2525C" w:rsidRDefault="00D9153D" w:rsidP="00BB2E94">
            <w:pPr>
              <w:spacing w:before="40" w:after="40"/>
              <w:ind w:left="100" w:right="100"/>
              <w:jc w:val="right"/>
              <w:rPr>
                <w:rFonts w:cs="Arial"/>
              </w:rPr>
            </w:pPr>
            <w:r w:rsidRPr="00B2525C">
              <w:rPr>
                <w:rFonts w:eastAsia="Arial" w:cs="Arial"/>
                <w:color w:val="111111"/>
              </w:rPr>
              <w:t>238</w:t>
            </w:r>
          </w:p>
        </w:tc>
        <w:tc>
          <w:tcPr>
            <w:tcW w:w="1218" w:type="dxa"/>
            <w:shd w:val="clear" w:color="auto" w:fill="FFFFFF"/>
            <w:tcMar>
              <w:top w:w="0" w:type="dxa"/>
              <w:left w:w="0" w:type="dxa"/>
              <w:bottom w:w="0" w:type="dxa"/>
              <w:right w:w="0" w:type="dxa"/>
            </w:tcMar>
            <w:vAlign w:val="center"/>
          </w:tcPr>
          <w:p w14:paraId="63B06EAD" w14:textId="77777777" w:rsidR="00D9153D" w:rsidRPr="00B2525C" w:rsidRDefault="00D9153D" w:rsidP="00BB2E94">
            <w:pPr>
              <w:spacing w:before="40" w:after="40"/>
              <w:ind w:left="100" w:right="100"/>
              <w:jc w:val="right"/>
              <w:rPr>
                <w:rFonts w:cs="Arial"/>
              </w:rPr>
            </w:pPr>
            <w:r w:rsidRPr="00B2525C">
              <w:rPr>
                <w:rFonts w:eastAsia="Arial" w:cs="Arial"/>
                <w:color w:val="111111"/>
              </w:rPr>
              <w:t>222</w:t>
            </w:r>
          </w:p>
        </w:tc>
        <w:tc>
          <w:tcPr>
            <w:tcW w:w="1218" w:type="dxa"/>
            <w:shd w:val="clear" w:color="auto" w:fill="FFFFFF"/>
            <w:tcMar>
              <w:top w:w="0" w:type="dxa"/>
              <w:left w:w="0" w:type="dxa"/>
              <w:bottom w:w="0" w:type="dxa"/>
              <w:right w:w="0" w:type="dxa"/>
            </w:tcMar>
            <w:vAlign w:val="center"/>
          </w:tcPr>
          <w:p w14:paraId="0292DFD5" w14:textId="77777777" w:rsidR="00D9153D" w:rsidRPr="00B2525C" w:rsidRDefault="00D9153D" w:rsidP="00BB2E94">
            <w:pPr>
              <w:spacing w:before="40" w:after="40"/>
              <w:ind w:left="100" w:right="100"/>
              <w:jc w:val="right"/>
              <w:rPr>
                <w:rFonts w:cs="Arial"/>
              </w:rPr>
            </w:pPr>
            <w:r w:rsidRPr="00B2525C">
              <w:rPr>
                <w:rFonts w:eastAsia="Arial" w:cs="Arial"/>
                <w:color w:val="111111"/>
              </w:rPr>
              <w:t>230</w:t>
            </w:r>
          </w:p>
        </w:tc>
      </w:tr>
      <w:tr w:rsidR="00D9153D" w:rsidRPr="00B2525C" w14:paraId="398B2A92" w14:textId="77777777" w:rsidTr="005F2779">
        <w:trPr>
          <w:cantSplit/>
          <w:jc w:val="center"/>
        </w:trPr>
        <w:tc>
          <w:tcPr>
            <w:tcW w:w="2147" w:type="dxa"/>
            <w:shd w:val="clear" w:color="auto" w:fill="FFFFFF"/>
            <w:tcMar>
              <w:top w:w="0" w:type="dxa"/>
              <w:left w:w="0" w:type="dxa"/>
              <w:bottom w:w="0" w:type="dxa"/>
              <w:right w:w="0" w:type="dxa"/>
            </w:tcMar>
            <w:vAlign w:val="center"/>
          </w:tcPr>
          <w:p w14:paraId="6EA8A1C8" w14:textId="77777777" w:rsidR="00D9153D" w:rsidRPr="00B2525C" w:rsidRDefault="00D9153D" w:rsidP="00BB2E94">
            <w:pPr>
              <w:spacing w:before="40" w:after="40"/>
              <w:ind w:left="100" w:right="100"/>
              <w:rPr>
                <w:rFonts w:cs="Arial"/>
              </w:rPr>
            </w:pPr>
            <w:r w:rsidRPr="00B2525C">
              <w:rPr>
                <w:rFonts w:eastAsia="Arial" w:cs="Arial"/>
                <w:color w:val="111111"/>
              </w:rPr>
              <w:t>Montgomery Park</w:t>
            </w:r>
          </w:p>
        </w:tc>
        <w:tc>
          <w:tcPr>
            <w:tcW w:w="1218" w:type="dxa"/>
            <w:shd w:val="clear" w:color="auto" w:fill="FFFFFF"/>
            <w:tcMar>
              <w:top w:w="0" w:type="dxa"/>
              <w:left w:w="0" w:type="dxa"/>
              <w:bottom w:w="0" w:type="dxa"/>
              <w:right w:w="0" w:type="dxa"/>
            </w:tcMar>
            <w:vAlign w:val="center"/>
          </w:tcPr>
          <w:p w14:paraId="56537123" w14:textId="77777777" w:rsidR="00D9153D" w:rsidRPr="00B2525C" w:rsidRDefault="00D9153D" w:rsidP="00BB2E94">
            <w:pPr>
              <w:spacing w:before="40" w:after="40"/>
              <w:ind w:left="100" w:right="100"/>
              <w:jc w:val="right"/>
              <w:rPr>
                <w:rFonts w:cs="Arial"/>
              </w:rPr>
            </w:pPr>
            <w:r w:rsidRPr="00B2525C">
              <w:rPr>
                <w:rFonts w:eastAsia="Arial" w:cs="Arial"/>
                <w:color w:val="111111"/>
              </w:rPr>
              <w:t>160</w:t>
            </w:r>
          </w:p>
        </w:tc>
        <w:tc>
          <w:tcPr>
            <w:tcW w:w="1218" w:type="dxa"/>
            <w:shd w:val="clear" w:color="auto" w:fill="FFFFFF"/>
            <w:tcMar>
              <w:top w:w="0" w:type="dxa"/>
              <w:left w:w="0" w:type="dxa"/>
              <w:bottom w:w="0" w:type="dxa"/>
              <w:right w:w="0" w:type="dxa"/>
            </w:tcMar>
            <w:vAlign w:val="center"/>
          </w:tcPr>
          <w:p w14:paraId="5A2832BD" w14:textId="77777777" w:rsidR="00D9153D" w:rsidRPr="00B2525C" w:rsidRDefault="00D9153D" w:rsidP="00BB2E94">
            <w:pPr>
              <w:spacing w:before="40" w:after="40"/>
              <w:ind w:left="100" w:right="100"/>
              <w:jc w:val="right"/>
              <w:rPr>
                <w:rFonts w:cs="Arial"/>
              </w:rPr>
            </w:pPr>
            <w:r w:rsidRPr="00B2525C">
              <w:rPr>
                <w:rFonts w:eastAsia="Arial" w:cs="Arial"/>
                <w:color w:val="111111"/>
              </w:rPr>
              <w:t>131</w:t>
            </w:r>
          </w:p>
        </w:tc>
        <w:tc>
          <w:tcPr>
            <w:tcW w:w="1218" w:type="dxa"/>
            <w:shd w:val="clear" w:color="auto" w:fill="FFFFFF"/>
            <w:tcMar>
              <w:top w:w="0" w:type="dxa"/>
              <w:left w:w="0" w:type="dxa"/>
              <w:bottom w:w="0" w:type="dxa"/>
              <w:right w:w="0" w:type="dxa"/>
            </w:tcMar>
            <w:vAlign w:val="center"/>
          </w:tcPr>
          <w:p w14:paraId="532F737F" w14:textId="77777777" w:rsidR="00D9153D" w:rsidRPr="00B2525C" w:rsidRDefault="00D9153D" w:rsidP="00BB2E94">
            <w:pPr>
              <w:spacing w:before="40" w:after="40"/>
              <w:ind w:left="100" w:right="100"/>
              <w:jc w:val="right"/>
              <w:rPr>
                <w:rFonts w:cs="Arial"/>
              </w:rPr>
            </w:pPr>
            <w:r w:rsidRPr="00B2525C">
              <w:rPr>
                <w:rFonts w:eastAsia="Arial" w:cs="Arial"/>
                <w:color w:val="111111"/>
              </w:rPr>
              <w:t>111</w:t>
            </w:r>
          </w:p>
        </w:tc>
        <w:tc>
          <w:tcPr>
            <w:tcW w:w="1218" w:type="dxa"/>
            <w:shd w:val="clear" w:color="auto" w:fill="FFFFFF"/>
            <w:tcMar>
              <w:top w:w="0" w:type="dxa"/>
              <w:left w:w="0" w:type="dxa"/>
              <w:bottom w:w="0" w:type="dxa"/>
              <w:right w:w="0" w:type="dxa"/>
            </w:tcMar>
            <w:vAlign w:val="center"/>
          </w:tcPr>
          <w:p w14:paraId="5E6EAC1F" w14:textId="77777777" w:rsidR="00D9153D" w:rsidRPr="00B2525C" w:rsidRDefault="00D9153D" w:rsidP="00BB2E94">
            <w:pPr>
              <w:spacing w:before="40" w:after="40"/>
              <w:ind w:left="100" w:right="100"/>
              <w:jc w:val="right"/>
              <w:rPr>
                <w:rFonts w:cs="Arial"/>
              </w:rPr>
            </w:pPr>
            <w:r w:rsidRPr="00B2525C">
              <w:rPr>
                <w:rFonts w:eastAsia="Arial" w:cs="Arial"/>
                <w:color w:val="111111"/>
              </w:rPr>
              <w:t>117</w:t>
            </w:r>
          </w:p>
        </w:tc>
        <w:tc>
          <w:tcPr>
            <w:tcW w:w="1218" w:type="dxa"/>
            <w:shd w:val="clear" w:color="auto" w:fill="FFFFFF"/>
            <w:tcMar>
              <w:top w:w="0" w:type="dxa"/>
              <w:left w:w="0" w:type="dxa"/>
              <w:bottom w:w="0" w:type="dxa"/>
              <w:right w:w="0" w:type="dxa"/>
            </w:tcMar>
            <w:vAlign w:val="center"/>
          </w:tcPr>
          <w:p w14:paraId="56CE0B0F" w14:textId="77777777" w:rsidR="00D9153D" w:rsidRPr="00B2525C" w:rsidRDefault="00D9153D" w:rsidP="00BB2E94">
            <w:pPr>
              <w:spacing w:before="40" w:after="40"/>
              <w:ind w:left="100" w:right="100"/>
              <w:jc w:val="right"/>
              <w:rPr>
                <w:rFonts w:cs="Arial"/>
              </w:rPr>
            </w:pPr>
            <w:r w:rsidRPr="00B2525C">
              <w:rPr>
                <w:rFonts w:eastAsia="Arial" w:cs="Arial"/>
                <w:color w:val="111111"/>
              </w:rPr>
              <w:t>129</w:t>
            </w:r>
          </w:p>
        </w:tc>
      </w:tr>
      <w:tr w:rsidR="00D9153D" w:rsidRPr="00B2525C" w14:paraId="08C8DE38" w14:textId="77777777" w:rsidTr="005F2779">
        <w:trPr>
          <w:cantSplit/>
          <w:jc w:val="center"/>
        </w:trPr>
        <w:tc>
          <w:tcPr>
            <w:tcW w:w="2147" w:type="dxa"/>
            <w:shd w:val="clear" w:color="auto" w:fill="FFFFFF"/>
            <w:tcMar>
              <w:top w:w="0" w:type="dxa"/>
              <w:left w:w="0" w:type="dxa"/>
              <w:bottom w:w="0" w:type="dxa"/>
              <w:right w:w="0" w:type="dxa"/>
            </w:tcMar>
            <w:vAlign w:val="center"/>
          </w:tcPr>
          <w:p w14:paraId="2AED0100" w14:textId="77777777" w:rsidR="00D9153D" w:rsidRPr="00B2525C" w:rsidRDefault="00D9153D" w:rsidP="00BB2E94">
            <w:pPr>
              <w:spacing w:before="40" w:after="40"/>
              <w:ind w:left="100" w:right="100"/>
              <w:rPr>
                <w:rFonts w:cs="Arial"/>
              </w:rPr>
            </w:pPr>
            <w:proofErr w:type="spellStart"/>
            <w:r w:rsidRPr="00B2525C">
              <w:rPr>
                <w:rFonts w:eastAsia="Arial" w:cs="Arial"/>
                <w:color w:val="111111"/>
              </w:rPr>
              <w:t>Shuter</w:t>
            </w:r>
            <w:proofErr w:type="spellEnd"/>
            <w:r w:rsidRPr="00B2525C">
              <w:rPr>
                <w:rFonts w:eastAsia="Arial" w:cs="Arial"/>
                <w:color w:val="111111"/>
              </w:rPr>
              <w:t xml:space="preserve"> Street</w:t>
            </w:r>
          </w:p>
        </w:tc>
        <w:tc>
          <w:tcPr>
            <w:tcW w:w="1218" w:type="dxa"/>
            <w:shd w:val="clear" w:color="auto" w:fill="FFFFFF"/>
            <w:tcMar>
              <w:top w:w="0" w:type="dxa"/>
              <w:left w:w="0" w:type="dxa"/>
              <w:bottom w:w="0" w:type="dxa"/>
              <w:right w:w="0" w:type="dxa"/>
            </w:tcMar>
            <w:vAlign w:val="center"/>
          </w:tcPr>
          <w:p w14:paraId="614C2E4C" w14:textId="77777777" w:rsidR="00D9153D" w:rsidRPr="00B2525C" w:rsidRDefault="00D9153D" w:rsidP="00BB2E94">
            <w:pPr>
              <w:spacing w:before="40" w:after="40"/>
              <w:ind w:left="100" w:right="100"/>
              <w:jc w:val="right"/>
              <w:rPr>
                <w:rFonts w:cs="Arial"/>
              </w:rPr>
            </w:pPr>
            <w:r w:rsidRPr="00B2525C">
              <w:rPr>
                <w:rFonts w:eastAsia="Arial" w:cs="Arial"/>
                <w:color w:val="111111"/>
              </w:rPr>
              <w:t>117</w:t>
            </w:r>
          </w:p>
        </w:tc>
        <w:tc>
          <w:tcPr>
            <w:tcW w:w="1218" w:type="dxa"/>
            <w:shd w:val="clear" w:color="auto" w:fill="FFFFFF"/>
            <w:tcMar>
              <w:top w:w="0" w:type="dxa"/>
              <w:left w:w="0" w:type="dxa"/>
              <w:bottom w:w="0" w:type="dxa"/>
              <w:right w:w="0" w:type="dxa"/>
            </w:tcMar>
            <w:vAlign w:val="center"/>
          </w:tcPr>
          <w:p w14:paraId="4298F685" w14:textId="77777777" w:rsidR="00D9153D" w:rsidRPr="00B2525C" w:rsidRDefault="00D9153D" w:rsidP="00BB2E94">
            <w:pPr>
              <w:spacing w:before="40" w:after="40"/>
              <w:ind w:left="100" w:right="100"/>
              <w:jc w:val="right"/>
              <w:rPr>
                <w:rFonts w:cs="Arial"/>
              </w:rPr>
            </w:pPr>
            <w:r w:rsidRPr="00B2525C">
              <w:rPr>
                <w:rFonts w:eastAsia="Arial" w:cs="Arial"/>
                <w:color w:val="111111"/>
              </w:rPr>
              <w:t>135</w:t>
            </w:r>
          </w:p>
        </w:tc>
        <w:tc>
          <w:tcPr>
            <w:tcW w:w="1218" w:type="dxa"/>
            <w:shd w:val="clear" w:color="auto" w:fill="FFFFFF"/>
            <w:tcMar>
              <w:top w:w="0" w:type="dxa"/>
              <w:left w:w="0" w:type="dxa"/>
              <w:bottom w:w="0" w:type="dxa"/>
              <w:right w:w="0" w:type="dxa"/>
            </w:tcMar>
            <w:vAlign w:val="center"/>
          </w:tcPr>
          <w:p w14:paraId="01362F27" w14:textId="77777777" w:rsidR="00D9153D" w:rsidRPr="00B2525C" w:rsidRDefault="00D9153D" w:rsidP="00BB2E94">
            <w:pPr>
              <w:spacing w:before="40" w:after="40"/>
              <w:ind w:left="100" w:right="100"/>
              <w:jc w:val="right"/>
              <w:rPr>
                <w:rFonts w:cs="Arial"/>
              </w:rPr>
            </w:pPr>
            <w:r w:rsidRPr="00B2525C">
              <w:rPr>
                <w:rFonts w:eastAsia="Arial" w:cs="Arial"/>
                <w:color w:val="111111"/>
              </w:rPr>
              <w:t>119</w:t>
            </w:r>
          </w:p>
        </w:tc>
        <w:tc>
          <w:tcPr>
            <w:tcW w:w="1218" w:type="dxa"/>
            <w:shd w:val="clear" w:color="auto" w:fill="FFFFFF"/>
            <w:tcMar>
              <w:top w:w="0" w:type="dxa"/>
              <w:left w:w="0" w:type="dxa"/>
              <w:bottom w:w="0" w:type="dxa"/>
              <w:right w:w="0" w:type="dxa"/>
            </w:tcMar>
            <w:vAlign w:val="center"/>
          </w:tcPr>
          <w:p w14:paraId="16BB8EB0" w14:textId="77777777" w:rsidR="00D9153D" w:rsidRPr="00B2525C" w:rsidRDefault="00D9153D" w:rsidP="00BB2E94">
            <w:pPr>
              <w:spacing w:before="40" w:after="40"/>
              <w:ind w:left="100" w:right="100"/>
              <w:jc w:val="right"/>
              <w:rPr>
                <w:rFonts w:cs="Arial"/>
              </w:rPr>
            </w:pPr>
            <w:r w:rsidRPr="00B2525C">
              <w:rPr>
                <w:rFonts w:eastAsia="Arial" w:cs="Arial"/>
                <w:color w:val="111111"/>
              </w:rPr>
              <w:t>118</w:t>
            </w:r>
          </w:p>
        </w:tc>
        <w:tc>
          <w:tcPr>
            <w:tcW w:w="1218" w:type="dxa"/>
            <w:shd w:val="clear" w:color="auto" w:fill="FFFFFF"/>
            <w:tcMar>
              <w:top w:w="0" w:type="dxa"/>
              <w:left w:w="0" w:type="dxa"/>
              <w:bottom w:w="0" w:type="dxa"/>
              <w:right w:w="0" w:type="dxa"/>
            </w:tcMar>
            <w:vAlign w:val="center"/>
          </w:tcPr>
          <w:p w14:paraId="345DAD29" w14:textId="77777777" w:rsidR="00D9153D" w:rsidRPr="00B2525C" w:rsidRDefault="00D9153D" w:rsidP="00BB2E94">
            <w:pPr>
              <w:spacing w:before="40" w:after="40"/>
              <w:ind w:left="100" w:right="100"/>
              <w:jc w:val="right"/>
              <w:rPr>
                <w:rFonts w:cs="Arial"/>
              </w:rPr>
            </w:pPr>
            <w:r w:rsidRPr="00B2525C">
              <w:rPr>
                <w:rFonts w:eastAsia="Arial" w:cs="Arial"/>
                <w:color w:val="111111"/>
              </w:rPr>
              <w:t>139</w:t>
            </w:r>
          </w:p>
        </w:tc>
      </w:tr>
      <w:tr w:rsidR="00D9153D" w:rsidRPr="00B2525C" w14:paraId="656EF9C7" w14:textId="77777777" w:rsidTr="005F2779">
        <w:trPr>
          <w:cantSplit/>
          <w:jc w:val="center"/>
        </w:trPr>
        <w:tc>
          <w:tcPr>
            <w:tcW w:w="2147" w:type="dxa"/>
            <w:shd w:val="clear" w:color="auto" w:fill="FFFFFF"/>
            <w:tcMar>
              <w:top w:w="0" w:type="dxa"/>
              <w:left w:w="0" w:type="dxa"/>
              <w:bottom w:w="0" w:type="dxa"/>
              <w:right w:w="0" w:type="dxa"/>
            </w:tcMar>
            <w:vAlign w:val="center"/>
          </w:tcPr>
          <w:p w14:paraId="1D01BDC9" w14:textId="77777777" w:rsidR="00D9153D" w:rsidRPr="00B2525C" w:rsidRDefault="00D9153D" w:rsidP="00BB2E94">
            <w:pPr>
              <w:spacing w:before="40" w:after="40"/>
              <w:ind w:left="100" w:right="100"/>
              <w:rPr>
                <w:rFonts w:cs="Arial"/>
              </w:rPr>
            </w:pPr>
            <w:r w:rsidRPr="00B2525C">
              <w:rPr>
                <w:rFonts w:eastAsia="Arial" w:cs="Arial"/>
                <w:color w:val="111111"/>
              </w:rPr>
              <w:t>Strathmore</w:t>
            </w:r>
          </w:p>
        </w:tc>
        <w:tc>
          <w:tcPr>
            <w:tcW w:w="1218" w:type="dxa"/>
            <w:shd w:val="clear" w:color="auto" w:fill="FFFFFF"/>
            <w:tcMar>
              <w:top w:w="0" w:type="dxa"/>
              <w:left w:w="0" w:type="dxa"/>
              <w:bottom w:w="0" w:type="dxa"/>
              <w:right w:w="0" w:type="dxa"/>
            </w:tcMar>
            <w:vAlign w:val="center"/>
          </w:tcPr>
          <w:p w14:paraId="66DA8306" w14:textId="77777777" w:rsidR="00D9153D" w:rsidRPr="00B2525C" w:rsidRDefault="00D9153D" w:rsidP="00BB2E94">
            <w:pPr>
              <w:spacing w:before="40" w:after="40"/>
              <w:ind w:left="100" w:right="100"/>
              <w:jc w:val="right"/>
              <w:rPr>
                <w:rFonts w:cs="Arial"/>
              </w:rPr>
            </w:pPr>
            <w:r w:rsidRPr="00B2525C">
              <w:rPr>
                <w:rFonts w:eastAsia="Arial" w:cs="Arial"/>
                <w:color w:val="111111"/>
              </w:rPr>
              <w:t>253</w:t>
            </w:r>
          </w:p>
        </w:tc>
        <w:tc>
          <w:tcPr>
            <w:tcW w:w="1218" w:type="dxa"/>
            <w:shd w:val="clear" w:color="auto" w:fill="FFFFFF"/>
            <w:tcMar>
              <w:top w:w="0" w:type="dxa"/>
              <w:left w:w="0" w:type="dxa"/>
              <w:bottom w:w="0" w:type="dxa"/>
              <w:right w:w="0" w:type="dxa"/>
            </w:tcMar>
            <w:vAlign w:val="center"/>
          </w:tcPr>
          <w:p w14:paraId="67E16BCF" w14:textId="77777777" w:rsidR="00D9153D" w:rsidRPr="00B2525C" w:rsidRDefault="00D9153D" w:rsidP="00BB2E94">
            <w:pPr>
              <w:spacing w:before="40" w:after="40"/>
              <w:ind w:left="100" w:right="100"/>
              <w:jc w:val="right"/>
              <w:rPr>
                <w:rFonts w:cs="Arial"/>
              </w:rPr>
            </w:pPr>
            <w:r w:rsidRPr="00B2525C">
              <w:rPr>
                <w:rFonts w:eastAsia="Arial" w:cs="Arial"/>
                <w:color w:val="111111"/>
              </w:rPr>
              <w:t>261</w:t>
            </w:r>
          </w:p>
        </w:tc>
        <w:tc>
          <w:tcPr>
            <w:tcW w:w="1218" w:type="dxa"/>
            <w:shd w:val="clear" w:color="auto" w:fill="FFFFFF"/>
            <w:tcMar>
              <w:top w:w="0" w:type="dxa"/>
              <w:left w:w="0" w:type="dxa"/>
              <w:bottom w:w="0" w:type="dxa"/>
              <w:right w:w="0" w:type="dxa"/>
            </w:tcMar>
            <w:vAlign w:val="center"/>
          </w:tcPr>
          <w:p w14:paraId="4DF1D8A3" w14:textId="77777777" w:rsidR="00D9153D" w:rsidRPr="00B2525C" w:rsidRDefault="00D9153D" w:rsidP="00BB2E94">
            <w:pPr>
              <w:spacing w:before="40" w:after="40"/>
              <w:ind w:left="100" w:right="100"/>
              <w:jc w:val="right"/>
              <w:rPr>
                <w:rFonts w:cs="Arial"/>
              </w:rPr>
            </w:pPr>
            <w:r w:rsidRPr="00B2525C">
              <w:rPr>
                <w:rFonts w:eastAsia="Arial" w:cs="Arial"/>
                <w:color w:val="111111"/>
              </w:rPr>
              <w:t>281</w:t>
            </w:r>
          </w:p>
        </w:tc>
        <w:tc>
          <w:tcPr>
            <w:tcW w:w="1218" w:type="dxa"/>
            <w:shd w:val="clear" w:color="auto" w:fill="FFFFFF"/>
            <w:tcMar>
              <w:top w:w="0" w:type="dxa"/>
              <w:left w:w="0" w:type="dxa"/>
              <w:bottom w:w="0" w:type="dxa"/>
              <w:right w:w="0" w:type="dxa"/>
            </w:tcMar>
            <w:vAlign w:val="center"/>
          </w:tcPr>
          <w:p w14:paraId="5210C965" w14:textId="77777777" w:rsidR="00D9153D" w:rsidRPr="00B2525C" w:rsidRDefault="00D9153D" w:rsidP="00BB2E94">
            <w:pPr>
              <w:spacing w:before="40" w:after="40"/>
              <w:ind w:left="100" w:right="100"/>
              <w:jc w:val="right"/>
              <w:rPr>
                <w:rFonts w:cs="Arial"/>
              </w:rPr>
            </w:pPr>
            <w:r w:rsidRPr="00B2525C">
              <w:rPr>
                <w:rFonts w:eastAsia="Arial" w:cs="Arial"/>
                <w:color w:val="111111"/>
              </w:rPr>
              <w:t>234</w:t>
            </w:r>
          </w:p>
        </w:tc>
        <w:tc>
          <w:tcPr>
            <w:tcW w:w="1218" w:type="dxa"/>
            <w:shd w:val="clear" w:color="auto" w:fill="FFFFFF"/>
            <w:tcMar>
              <w:top w:w="0" w:type="dxa"/>
              <w:left w:w="0" w:type="dxa"/>
              <w:bottom w:w="0" w:type="dxa"/>
              <w:right w:w="0" w:type="dxa"/>
            </w:tcMar>
            <w:vAlign w:val="center"/>
          </w:tcPr>
          <w:p w14:paraId="690AFBE9" w14:textId="77777777" w:rsidR="00D9153D" w:rsidRPr="00B2525C" w:rsidRDefault="00D9153D" w:rsidP="00BB2E94">
            <w:pPr>
              <w:spacing w:before="40" w:after="40"/>
              <w:ind w:left="100" w:right="100"/>
              <w:jc w:val="right"/>
              <w:rPr>
                <w:rFonts w:cs="Arial"/>
              </w:rPr>
            </w:pPr>
            <w:r w:rsidRPr="00B2525C">
              <w:rPr>
                <w:rFonts w:eastAsia="Arial" w:cs="Arial"/>
                <w:color w:val="111111"/>
              </w:rPr>
              <w:t>233</w:t>
            </w:r>
          </w:p>
        </w:tc>
      </w:tr>
      <w:tr w:rsidR="00D9153D" w:rsidRPr="00B2525C" w14:paraId="2AF2FF7D" w14:textId="77777777" w:rsidTr="005F2779">
        <w:trPr>
          <w:cantSplit/>
          <w:jc w:val="center"/>
        </w:trPr>
        <w:tc>
          <w:tcPr>
            <w:tcW w:w="2147" w:type="dxa"/>
            <w:tcBorders>
              <w:bottom w:val="single" w:sz="4" w:space="0" w:color="auto"/>
            </w:tcBorders>
            <w:shd w:val="clear" w:color="auto" w:fill="FFFFFF"/>
            <w:tcMar>
              <w:top w:w="0" w:type="dxa"/>
              <w:left w:w="0" w:type="dxa"/>
              <w:bottom w:w="0" w:type="dxa"/>
              <w:right w:w="0" w:type="dxa"/>
            </w:tcMar>
            <w:vAlign w:val="center"/>
          </w:tcPr>
          <w:p w14:paraId="6D7122DA" w14:textId="77777777" w:rsidR="00D9153D" w:rsidRPr="00B2525C" w:rsidRDefault="00D9153D" w:rsidP="00BB2E94">
            <w:pPr>
              <w:spacing w:before="40" w:after="40"/>
              <w:ind w:left="100" w:right="100"/>
              <w:rPr>
                <w:rFonts w:cs="Arial"/>
              </w:rPr>
            </w:pPr>
            <w:r w:rsidRPr="00B2525C">
              <w:rPr>
                <w:rFonts w:eastAsia="Arial" w:cs="Arial"/>
                <w:color w:val="111111"/>
              </w:rPr>
              <w:t>Wingate</w:t>
            </w:r>
          </w:p>
        </w:tc>
        <w:tc>
          <w:tcPr>
            <w:tcW w:w="1218" w:type="dxa"/>
            <w:tcBorders>
              <w:bottom w:val="single" w:sz="4" w:space="0" w:color="auto"/>
            </w:tcBorders>
            <w:shd w:val="clear" w:color="auto" w:fill="FFFFFF"/>
            <w:tcMar>
              <w:top w:w="0" w:type="dxa"/>
              <w:left w:w="0" w:type="dxa"/>
              <w:bottom w:w="0" w:type="dxa"/>
              <w:right w:w="0" w:type="dxa"/>
            </w:tcMar>
            <w:vAlign w:val="center"/>
          </w:tcPr>
          <w:p w14:paraId="2853040D" w14:textId="77777777" w:rsidR="00D9153D" w:rsidRPr="00B2525C" w:rsidRDefault="00D9153D" w:rsidP="00BB2E94">
            <w:pPr>
              <w:spacing w:before="40" w:after="40"/>
              <w:ind w:left="100" w:right="100"/>
              <w:jc w:val="right"/>
              <w:rPr>
                <w:rFonts w:cs="Arial"/>
              </w:rPr>
            </w:pPr>
            <w:r w:rsidRPr="00B2525C">
              <w:rPr>
                <w:rFonts w:eastAsia="Arial" w:cs="Arial"/>
                <w:color w:val="111111"/>
              </w:rPr>
              <w:t>95</w:t>
            </w:r>
          </w:p>
        </w:tc>
        <w:tc>
          <w:tcPr>
            <w:tcW w:w="1218" w:type="dxa"/>
            <w:tcBorders>
              <w:bottom w:val="single" w:sz="4" w:space="0" w:color="auto"/>
            </w:tcBorders>
            <w:shd w:val="clear" w:color="auto" w:fill="FFFFFF"/>
            <w:tcMar>
              <w:top w:w="0" w:type="dxa"/>
              <w:left w:w="0" w:type="dxa"/>
              <w:bottom w:w="0" w:type="dxa"/>
              <w:right w:w="0" w:type="dxa"/>
            </w:tcMar>
            <w:vAlign w:val="center"/>
          </w:tcPr>
          <w:p w14:paraId="13CF2E22" w14:textId="77777777" w:rsidR="00D9153D" w:rsidRPr="00B2525C" w:rsidRDefault="00D9153D" w:rsidP="00BB2E94">
            <w:pPr>
              <w:spacing w:before="40" w:after="40"/>
              <w:ind w:left="100" w:right="100"/>
              <w:jc w:val="right"/>
              <w:rPr>
                <w:rFonts w:cs="Arial"/>
              </w:rPr>
            </w:pPr>
            <w:r w:rsidRPr="00B2525C">
              <w:rPr>
                <w:rFonts w:eastAsia="Arial" w:cs="Arial"/>
                <w:color w:val="111111"/>
              </w:rPr>
              <w:t>104</w:t>
            </w:r>
          </w:p>
        </w:tc>
        <w:tc>
          <w:tcPr>
            <w:tcW w:w="1218" w:type="dxa"/>
            <w:tcBorders>
              <w:bottom w:val="single" w:sz="4" w:space="0" w:color="auto"/>
            </w:tcBorders>
            <w:shd w:val="clear" w:color="auto" w:fill="FFFFFF"/>
            <w:tcMar>
              <w:top w:w="0" w:type="dxa"/>
              <w:left w:w="0" w:type="dxa"/>
              <w:bottom w:w="0" w:type="dxa"/>
              <w:right w:w="0" w:type="dxa"/>
            </w:tcMar>
            <w:vAlign w:val="center"/>
          </w:tcPr>
          <w:p w14:paraId="0E2985CD" w14:textId="77777777" w:rsidR="00D9153D" w:rsidRPr="00B2525C" w:rsidRDefault="00D9153D" w:rsidP="00BB2E94">
            <w:pPr>
              <w:spacing w:before="40" w:after="40"/>
              <w:ind w:left="100" w:right="100"/>
              <w:jc w:val="right"/>
              <w:rPr>
                <w:rFonts w:cs="Arial"/>
              </w:rPr>
            </w:pPr>
            <w:r w:rsidRPr="00B2525C">
              <w:rPr>
                <w:rFonts w:eastAsia="Arial" w:cs="Arial"/>
                <w:color w:val="111111"/>
              </w:rPr>
              <w:t>102</w:t>
            </w:r>
          </w:p>
        </w:tc>
        <w:tc>
          <w:tcPr>
            <w:tcW w:w="1218" w:type="dxa"/>
            <w:tcBorders>
              <w:bottom w:val="single" w:sz="4" w:space="0" w:color="auto"/>
            </w:tcBorders>
            <w:shd w:val="clear" w:color="auto" w:fill="FFFFFF"/>
            <w:tcMar>
              <w:top w:w="0" w:type="dxa"/>
              <w:left w:w="0" w:type="dxa"/>
              <w:bottom w:w="0" w:type="dxa"/>
              <w:right w:w="0" w:type="dxa"/>
            </w:tcMar>
            <w:vAlign w:val="center"/>
          </w:tcPr>
          <w:p w14:paraId="69FECCD5" w14:textId="77777777" w:rsidR="00D9153D" w:rsidRPr="00B2525C" w:rsidRDefault="00D9153D" w:rsidP="00BB2E94">
            <w:pPr>
              <w:spacing w:before="40" w:after="40"/>
              <w:ind w:left="100" w:right="100"/>
              <w:jc w:val="right"/>
              <w:rPr>
                <w:rFonts w:cs="Arial"/>
              </w:rPr>
            </w:pPr>
            <w:r w:rsidRPr="00B2525C">
              <w:rPr>
                <w:rFonts w:eastAsia="Arial" w:cs="Arial"/>
                <w:color w:val="111111"/>
              </w:rPr>
              <w:t>98</w:t>
            </w:r>
          </w:p>
        </w:tc>
        <w:tc>
          <w:tcPr>
            <w:tcW w:w="1218" w:type="dxa"/>
            <w:tcBorders>
              <w:bottom w:val="single" w:sz="4" w:space="0" w:color="auto"/>
            </w:tcBorders>
            <w:shd w:val="clear" w:color="auto" w:fill="FFFFFF"/>
            <w:tcMar>
              <w:top w:w="0" w:type="dxa"/>
              <w:left w:w="0" w:type="dxa"/>
              <w:bottom w:w="0" w:type="dxa"/>
              <w:right w:w="0" w:type="dxa"/>
            </w:tcMar>
            <w:vAlign w:val="center"/>
          </w:tcPr>
          <w:p w14:paraId="6F04EC88" w14:textId="77777777" w:rsidR="00D9153D" w:rsidRPr="00B2525C" w:rsidRDefault="00D9153D" w:rsidP="00BB2E94">
            <w:pPr>
              <w:spacing w:before="40" w:after="40"/>
              <w:ind w:left="100" w:right="100"/>
              <w:jc w:val="right"/>
              <w:rPr>
                <w:rFonts w:cs="Arial"/>
              </w:rPr>
            </w:pPr>
            <w:r w:rsidRPr="00B2525C">
              <w:rPr>
                <w:rFonts w:eastAsia="Arial" w:cs="Arial"/>
                <w:color w:val="111111"/>
              </w:rPr>
              <w:t>91</w:t>
            </w:r>
          </w:p>
        </w:tc>
      </w:tr>
      <w:tr w:rsidR="00D9153D" w:rsidRPr="00B2525C" w14:paraId="4C7BF445" w14:textId="77777777" w:rsidTr="005F2779">
        <w:trPr>
          <w:cantSplit/>
          <w:jc w:val="center"/>
        </w:trPr>
        <w:tc>
          <w:tcPr>
            <w:tcW w:w="2147" w:type="dxa"/>
            <w:tcBorders>
              <w:top w:val="single" w:sz="4" w:space="0" w:color="auto"/>
              <w:bottom w:val="single" w:sz="8" w:space="0" w:color="333333"/>
            </w:tcBorders>
            <w:shd w:val="clear" w:color="auto" w:fill="FFFFFF"/>
            <w:tcMar>
              <w:top w:w="0" w:type="dxa"/>
              <w:left w:w="0" w:type="dxa"/>
              <w:bottom w:w="0" w:type="dxa"/>
              <w:right w:w="0" w:type="dxa"/>
            </w:tcMar>
            <w:vAlign w:val="center"/>
          </w:tcPr>
          <w:p w14:paraId="47402F68" w14:textId="77777777" w:rsidR="00D9153D" w:rsidRPr="00B2525C" w:rsidRDefault="00D9153D" w:rsidP="00BB2E94">
            <w:pPr>
              <w:spacing w:before="40" w:after="40"/>
              <w:ind w:left="100" w:right="100"/>
              <w:rPr>
                <w:rFonts w:cs="Arial"/>
              </w:rPr>
            </w:pPr>
            <w:r w:rsidRPr="00B2525C">
              <w:rPr>
                <w:rFonts w:eastAsia="Arial" w:cs="Arial"/>
                <w:b/>
                <w:color w:val="111111"/>
              </w:rPr>
              <w:t>Total</w:t>
            </w:r>
          </w:p>
        </w:tc>
        <w:tc>
          <w:tcPr>
            <w:tcW w:w="1218" w:type="dxa"/>
            <w:tcBorders>
              <w:top w:val="single" w:sz="4" w:space="0" w:color="auto"/>
              <w:bottom w:val="single" w:sz="8" w:space="0" w:color="333333"/>
            </w:tcBorders>
            <w:shd w:val="clear" w:color="auto" w:fill="FFFFFF"/>
            <w:tcMar>
              <w:top w:w="0" w:type="dxa"/>
              <w:left w:w="0" w:type="dxa"/>
              <w:bottom w:w="0" w:type="dxa"/>
              <w:right w:w="0" w:type="dxa"/>
            </w:tcMar>
            <w:vAlign w:val="center"/>
          </w:tcPr>
          <w:p w14:paraId="04679030" w14:textId="77777777" w:rsidR="00D9153D" w:rsidRPr="00B2525C" w:rsidRDefault="00D9153D" w:rsidP="00BB2E94">
            <w:pPr>
              <w:spacing w:before="40" w:after="40"/>
              <w:ind w:left="100" w:right="100"/>
              <w:jc w:val="right"/>
              <w:rPr>
                <w:rFonts w:cs="Arial"/>
              </w:rPr>
            </w:pPr>
            <w:r w:rsidRPr="00B2525C">
              <w:rPr>
                <w:rFonts w:eastAsia="Arial" w:cs="Arial"/>
                <w:b/>
                <w:color w:val="111111"/>
              </w:rPr>
              <w:t>1559</w:t>
            </w:r>
          </w:p>
        </w:tc>
        <w:tc>
          <w:tcPr>
            <w:tcW w:w="1218" w:type="dxa"/>
            <w:tcBorders>
              <w:top w:val="single" w:sz="4" w:space="0" w:color="auto"/>
              <w:bottom w:val="single" w:sz="8" w:space="0" w:color="333333"/>
            </w:tcBorders>
            <w:shd w:val="clear" w:color="auto" w:fill="FFFFFF"/>
            <w:tcMar>
              <w:top w:w="0" w:type="dxa"/>
              <w:left w:w="0" w:type="dxa"/>
              <w:bottom w:w="0" w:type="dxa"/>
              <w:right w:w="0" w:type="dxa"/>
            </w:tcMar>
            <w:vAlign w:val="center"/>
          </w:tcPr>
          <w:p w14:paraId="14132807" w14:textId="77777777" w:rsidR="00D9153D" w:rsidRPr="00B2525C" w:rsidRDefault="00D9153D" w:rsidP="00BB2E94">
            <w:pPr>
              <w:spacing w:before="40" w:after="40"/>
              <w:ind w:left="100" w:right="100"/>
              <w:jc w:val="right"/>
              <w:rPr>
                <w:rFonts w:cs="Arial"/>
              </w:rPr>
            </w:pPr>
            <w:r w:rsidRPr="00B2525C">
              <w:rPr>
                <w:rFonts w:eastAsia="Arial" w:cs="Arial"/>
                <w:b/>
                <w:color w:val="111111"/>
              </w:rPr>
              <w:t>1537</w:t>
            </w:r>
          </w:p>
        </w:tc>
        <w:tc>
          <w:tcPr>
            <w:tcW w:w="1218" w:type="dxa"/>
            <w:tcBorders>
              <w:top w:val="single" w:sz="4" w:space="0" w:color="auto"/>
              <w:bottom w:val="single" w:sz="8" w:space="0" w:color="333333"/>
            </w:tcBorders>
            <w:shd w:val="clear" w:color="auto" w:fill="FFFFFF"/>
            <w:tcMar>
              <w:top w:w="0" w:type="dxa"/>
              <w:left w:w="0" w:type="dxa"/>
              <w:bottom w:w="0" w:type="dxa"/>
              <w:right w:w="0" w:type="dxa"/>
            </w:tcMar>
            <w:vAlign w:val="center"/>
          </w:tcPr>
          <w:p w14:paraId="3DF35CED" w14:textId="77777777" w:rsidR="00D9153D" w:rsidRPr="00B2525C" w:rsidRDefault="00D9153D" w:rsidP="00BB2E94">
            <w:pPr>
              <w:spacing w:before="40" w:after="40"/>
              <w:ind w:left="100" w:right="100"/>
              <w:jc w:val="right"/>
              <w:rPr>
                <w:rFonts w:cs="Arial"/>
              </w:rPr>
            </w:pPr>
            <w:r w:rsidRPr="00B2525C">
              <w:rPr>
                <w:rFonts w:eastAsia="Arial" w:cs="Arial"/>
                <w:b/>
                <w:color w:val="111111"/>
              </w:rPr>
              <w:t>1543</w:t>
            </w:r>
          </w:p>
        </w:tc>
        <w:tc>
          <w:tcPr>
            <w:tcW w:w="1218" w:type="dxa"/>
            <w:tcBorders>
              <w:top w:val="single" w:sz="4" w:space="0" w:color="auto"/>
              <w:bottom w:val="single" w:sz="8" w:space="0" w:color="333333"/>
            </w:tcBorders>
            <w:shd w:val="clear" w:color="auto" w:fill="FFFFFF"/>
            <w:tcMar>
              <w:top w:w="0" w:type="dxa"/>
              <w:left w:w="0" w:type="dxa"/>
              <w:bottom w:w="0" w:type="dxa"/>
              <w:right w:w="0" w:type="dxa"/>
            </w:tcMar>
            <w:vAlign w:val="center"/>
          </w:tcPr>
          <w:p w14:paraId="3C40B568" w14:textId="77777777" w:rsidR="00D9153D" w:rsidRPr="00B2525C" w:rsidRDefault="00D9153D" w:rsidP="00BB2E94">
            <w:pPr>
              <w:spacing w:before="40" w:after="40"/>
              <w:ind w:left="100" w:right="100"/>
              <w:jc w:val="right"/>
              <w:rPr>
                <w:rFonts w:cs="Arial"/>
              </w:rPr>
            </w:pPr>
            <w:r w:rsidRPr="00B2525C">
              <w:rPr>
                <w:rFonts w:eastAsia="Arial" w:cs="Arial"/>
                <w:b/>
                <w:color w:val="111111"/>
              </w:rPr>
              <w:t>1450</w:t>
            </w:r>
          </w:p>
        </w:tc>
        <w:tc>
          <w:tcPr>
            <w:tcW w:w="1218" w:type="dxa"/>
            <w:tcBorders>
              <w:top w:val="single" w:sz="4" w:space="0" w:color="auto"/>
              <w:bottom w:val="single" w:sz="8" w:space="0" w:color="333333"/>
            </w:tcBorders>
            <w:shd w:val="clear" w:color="auto" w:fill="FFFFFF"/>
            <w:tcMar>
              <w:top w:w="0" w:type="dxa"/>
              <w:left w:w="0" w:type="dxa"/>
              <w:bottom w:w="0" w:type="dxa"/>
              <w:right w:w="0" w:type="dxa"/>
            </w:tcMar>
            <w:vAlign w:val="center"/>
          </w:tcPr>
          <w:p w14:paraId="197C314C" w14:textId="77777777" w:rsidR="00D9153D" w:rsidRPr="00B2525C" w:rsidRDefault="00D9153D" w:rsidP="00BB2E94">
            <w:pPr>
              <w:spacing w:before="40" w:after="40"/>
              <w:ind w:left="100" w:right="100"/>
              <w:jc w:val="right"/>
              <w:rPr>
                <w:rFonts w:cs="Arial"/>
              </w:rPr>
            </w:pPr>
            <w:r w:rsidRPr="00B2525C">
              <w:rPr>
                <w:rFonts w:eastAsia="Arial" w:cs="Arial"/>
                <w:b/>
                <w:color w:val="111111"/>
              </w:rPr>
              <w:t>1487</w:t>
            </w:r>
          </w:p>
        </w:tc>
      </w:tr>
      <w:tr w:rsidR="00D9153D" w:rsidRPr="00B2525C" w14:paraId="00523889" w14:textId="77777777" w:rsidTr="005F2779">
        <w:trPr>
          <w:cantSplit/>
          <w:trHeight w:val="426"/>
          <w:jc w:val="center"/>
        </w:trPr>
        <w:tc>
          <w:tcPr>
            <w:tcW w:w="8237" w:type="dxa"/>
            <w:gridSpan w:val="6"/>
            <w:shd w:val="clear" w:color="auto" w:fill="FFFFFF"/>
            <w:tcMar>
              <w:top w:w="0" w:type="dxa"/>
              <w:left w:w="0" w:type="dxa"/>
              <w:bottom w:w="0" w:type="dxa"/>
              <w:right w:w="0" w:type="dxa"/>
            </w:tcMar>
            <w:vAlign w:val="center"/>
          </w:tcPr>
          <w:p w14:paraId="4A56D5BB" w14:textId="77777777" w:rsidR="00D9153D" w:rsidRPr="005F2779" w:rsidRDefault="00D9153D" w:rsidP="00BB2E94">
            <w:pPr>
              <w:spacing w:after="0"/>
              <w:rPr>
                <w:rFonts w:cs="Arial"/>
                <w:i/>
              </w:rPr>
            </w:pPr>
            <w:r w:rsidRPr="005F2779">
              <w:rPr>
                <w:rFonts w:eastAsia="Arial" w:cs="Arial"/>
                <w:i/>
                <w:color w:val="000000"/>
                <w:sz w:val="20"/>
                <w:szCs w:val="20"/>
              </w:rPr>
              <w:t xml:space="preserve">Source: </w:t>
            </w:r>
            <w:r w:rsidR="00E37EA5" w:rsidRPr="005F2779">
              <w:rPr>
                <w:rFonts w:eastAsia="Arial" w:cs="Arial"/>
                <w:i/>
                <w:color w:val="000000"/>
                <w:sz w:val="20"/>
                <w:szCs w:val="20"/>
              </w:rPr>
              <w:t>Moonee Valley City Council</w:t>
            </w:r>
            <w:r w:rsidRPr="005F2779">
              <w:rPr>
                <w:rFonts w:eastAsia="Arial" w:cs="Arial"/>
                <w:i/>
                <w:color w:val="000000"/>
                <w:sz w:val="20"/>
                <w:szCs w:val="20"/>
              </w:rPr>
              <w:t>, 2020</w:t>
            </w:r>
          </w:p>
        </w:tc>
      </w:tr>
    </w:tbl>
    <w:p w14:paraId="6D4F8BD3" w14:textId="77777777" w:rsidR="00AB4229" w:rsidRDefault="00AB4229" w:rsidP="00D9153D">
      <w:pPr>
        <w:rPr>
          <w:rFonts w:cs="Arial"/>
        </w:rPr>
      </w:pPr>
      <w:r>
        <w:rPr>
          <w:rFonts w:cs="Arial"/>
        </w:rPr>
        <w:br w:type="page"/>
      </w:r>
    </w:p>
    <w:p w14:paraId="1FB4165E" w14:textId="0699F6AC" w:rsidR="001D67CA" w:rsidRPr="00B2525C" w:rsidRDefault="0068470E" w:rsidP="001D67CA">
      <w:pPr>
        <w:pStyle w:val="Heading2"/>
        <w:rPr>
          <w:rFonts w:cs="Arial"/>
        </w:rPr>
      </w:pPr>
      <w:r w:rsidRPr="00B2525C">
        <w:rPr>
          <w:rFonts w:cs="Arial"/>
        </w:rPr>
        <w:lastRenderedPageBreak/>
        <w:t xml:space="preserve">Household </w:t>
      </w:r>
      <w:r w:rsidR="002A53F6" w:rsidRPr="00B2525C">
        <w:rPr>
          <w:rFonts w:cs="Arial"/>
        </w:rPr>
        <w:t>c</w:t>
      </w:r>
      <w:r w:rsidRPr="00B2525C">
        <w:rPr>
          <w:rFonts w:cs="Arial"/>
        </w:rPr>
        <w:t>omposition</w:t>
      </w:r>
    </w:p>
    <w:p w14:paraId="5ACAC79F" w14:textId="77777777" w:rsidR="00DB61AA" w:rsidRDefault="00DB61AA" w:rsidP="0068470E">
      <w:pPr>
        <w:rPr>
          <w:rFonts w:cs="Arial"/>
        </w:rPr>
      </w:pPr>
    </w:p>
    <w:p w14:paraId="305916CC" w14:textId="77777777" w:rsidR="00DB61AA" w:rsidRDefault="00E37EA5" w:rsidP="0068470E">
      <w:pPr>
        <w:rPr>
          <w:rFonts w:cs="Arial"/>
        </w:rPr>
      </w:pPr>
      <w:r w:rsidRPr="00B2525C">
        <w:rPr>
          <w:rFonts w:cs="Arial"/>
        </w:rPr>
        <w:t>Moonee Valley City Council</w:t>
      </w:r>
      <w:r w:rsidR="0029000B" w:rsidRPr="00B2525C">
        <w:rPr>
          <w:rFonts w:cs="Arial"/>
        </w:rPr>
        <w:t xml:space="preserve"> </w:t>
      </w:r>
      <w:r w:rsidR="0068470E" w:rsidRPr="00B2525C">
        <w:rPr>
          <w:rFonts w:cs="Arial"/>
        </w:rPr>
        <w:t xml:space="preserve">is home to many types of families. Data from the 2016 Census shows that the most common household type is couples with children, who account for approximately 31 per cent of </w:t>
      </w:r>
      <w:r w:rsidR="00C16E91" w:rsidRPr="00B2525C">
        <w:rPr>
          <w:rFonts w:cs="Arial"/>
        </w:rPr>
        <w:t xml:space="preserve">all </w:t>
      </w:r>
      <w:r w:rsidR="0068470E" w:rsidRPr="00B2525C">
        <w:rPr>
          <w:rFonts w:cs="Arial"/>
        </w:rPr>
        <w:t>households. Lone person households make up about 25 per cent of households</w:t>
      </w:r>
      <w:r w:rsidR="00C16E91" w:rsidRPr="00B2525C">
        <w:rPr>
          <w:rFonts w:cs="Arial"/>
        </w:rPr>
        <w:t>, which was more than was recorded in Greater Melbourne (</w:t>
      </w:r>
      <w:r w:rsidR="000300C0" w:rsidRPr="00B2525C">
        <w:rPr>
          <w:rFonts w:cs="Arial"/>
        </w:rPr>
        <w:t xml:space="preserve">i.e. </w:t>
      </w:r>
      <w:r w:rsidR="00C16E91" w:rsidRPr="00B2525C">
        <w:rPr>
          <w:rFonts w:cs="Arial"/>
        </w:rPr>
        <w:t>22%)</w:t>
      </w:r>
      <w:r w:rsidR="0068470E" w:rsidRPr="00B2525C">
        <w:rPr>
          <w:rFonts w:cs="Arial"/>
        </w:rPr>
        <w:t>.</w:t>
      </w:r>
    </w:p>
    <w:p w14:paraId="64CC697F" w14:textId="77777777" w:rsidR="00DB61AA" w:rsidRDefault="00DB61AA" w:rsidP="0068470E">
      <w:pPr>
        <w:rPr>
          <w:rFonts w:cs="Arial"/>
        </w:rPr>
      </w:pPr>
    </w:p>
    <w:p w14:paraId="10F821BA" w14:textId="784B9CF2" w:rsidR="00DB61AA" w:rsidRPr="00DB61AA" w:rsidRDefault="000052A8" w:rsidP="00DB61AA">
      <w:pPr>
        <w:rPr>
          <w:rFonts w:cs="Arial"/>
        </w:rPr>
      </w:pPr>
      <w:r w:rsidRPr="005F2779">
        <w:rPr>
          <w:rFonts w:cs="Arial"/>
          <w:b/>
        </w:rPr>
        <w:t>Figure</w:t>
      </w:r>
      <w:r w:rsidR="003C2739">
        <w:rPr>
          <w:rFonts w:cs="Arial"/>
        </w:rPr>
        <w:t xml:space="preserve"> </w:t>
      </w:r>
      <w:r w:rsidR="00B93B84">
        <w:rPr>
          <w:rFonts w:cs="Arial"/>
        </w:rPr>
        <w:t>11.</w:t>
      </w:r>
      <w:r w:rsidR="003C2739">
        <w:rPr>
          <w:rFonts w:cs="Arial"/>
        </w:rPr>
        <w:t xml:space="preserve"> </w:t>
      </w:r>
      <w:r w:rsidR="00DB61AA" w:rsidRPr="00DB61AA">
        <w:rPr>
          <w:rFonts w:cs="Arial"/>
        </w:rPr>
        <w:t>Household composition, Moonee Valley compared to Greater Melbourne as at 2016 Census</w:t>
      </w:r>
    </w:p>
    <w:p w14:paraId="1A32A853" w14:textId="77777777" w:rsidR="009F6856" w:rsidRPr="00B2525C" w:rsidRDefault="009F6856" w:rsidP="0068470E">
      <w:pPr>
        <w:rPr>
          <w:rFonts w:cs="Arial"/>
        </w:rPr>
      </w:pPr>
    </w:p>
    <w:p w14:paraId="24704422" w14:textId="77777777" w:rsidR="0068470E" w:rsidRPr="00B2525C" w:rsidRDefault="0068470E" w:rsidP="0068470E">
      <w:pPr>
        <w:rPr>
          <w:rFonts w:cs="Arial"/>
        </w:rPr>
      </w:pPr>
      <w:r w:rsidRPr="00B2525C">
        <w:rPr>
          <w:rFonts w:cs="Arial"/>
          <w:noProof/>
        </w:rPr>
        <w:drawing>
          <wp:anchor distT="0" distB="0" distL="114300" distR="114300" simplePos="0" relativeHeight="251709440" behindDoc="0" locked="0" layoutInCell="1" allowOverlap="1" wp14:anchorId="64A3889F" wp14:editId="70BD3897">
            <wp:simplePos x="685800" y="914400"/>
            <wp:positionH relativeFrom="column">
              <wp:align>left</wp:align>
            </wp:positionH>
            <wp:positionV relativeFrom="paragraph">
              <wp:align>top</wp:align>
            </wp:positionV>
            <wp:extent cx="5925820" cy="3631721"/>
            <wp:effectExtent l="0" t="0" r="17780" b="6985"/>
            <wp:wrapSquare wrapText="bothSides"/>
            <wp:docPr id="392" name="Chart 392">
              <a:extLst xmlns:a="http://schemas.openxmlformats.org/drawingml/2006/main">
                <a:ext uri="{FF2B5EF4-FFF2-40B4-BE49-F238E27FC236}">
                  <a16:creationId xmlns:a16="http://schemas.microsoft.com/office/drawing/2014/main" id="{EC60619F-3C15-47B2-9621-FC8F940BB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1F286E0" w14:textId="77777777" w:rsidR="0068470E" w:rsidRPr="00B2525C" w:rsidRDefault="0068470E" w:rsidP="0068470E">
      <w:pPr>
        <w:pStyle w:val="Caption"/>
        <w:rPr>
          <w:rFonts w:cs="Arial"/>
        </w:rPr>
      </w:pPr>
      <w:r w:rsidRPr="00B2525C">
        <w:rPr>
          <w:rFonts w:cs="Arial"/>
        </w:rPr>
        <w:t>Source: ABS, Census 2016</w:t>
      </w:r>
    </w:p>
    <w:p w14:paraId="502CED88" w14:textId="77777777" w:rsidR="00601072" w:rsidRPr="00B2525C" w:rsidRDefault="00601072" w:rsidP="00CC3EF2">
      <w:pPr>
        <w:rPr>
          <w:rFonts w:cs="Arial"/>
        </w:rPr>
      </w:pPr>
    </w:p>
    <w:p w14:paraId="66A1500D" w14:textId="77777777" w:rsidR="00CC3EF2" w:rsidRPr="00B2525C" w:rsidRDefault="00CC3EF2" w:rsidP="00CC3EF2">
      <w:pPr>
        <w:rPr>
          <w:rFonts w:cs="Arial"/>
        </w:rPr>
      </w:pPr>
      <w:r w:rsidRPr="00ED3EC3">
        <w:rPr>
          <w:rStyle w:val="Heading4Char"/>
        </w:rPr>
        <w:t xml:space="preserve">One parent </w:t>
      </w:r>
      <w:proofErr w:type="gramStart"/>
      <w:r w:rsidRPr="00ED3EC3">
        <w:rPr>
          <w:rStyle w:val="Heading4Char"/>
        </w:rPr>
        <w:t>families</w:t>
      </w:r>
      <w:proofErr w:type="gramEnd"/>
      <w:r w:rsidRPr="00B2525C">
        <w:rPr>
          <w:rFonts w:cs="Arial"/>
        </w:rPr>
        <w:t xml:space="preserve"> in Moonee Valley are predominat</w:t>
      </w:r>
      <w:r w:rsidR="00601072" w:rsidRPr="00B2525C">
        <w:rPr>
          <w:rFonts w:cs="Arial"/>
        </w:rPr>
        <w:t xml:space="preserve">ely </w:t>
      </w:r>
      <w:r w:rsidRPr="00B2525C">
        <w:rPr>
          <w:rFonts w:cs="Arial"/>
        </w:rPr>
        <w:t>headed by females (82.3%), compared to males (17.7%). Women’s Health West report that single mothers remain one of the most economically disadvantaged groups in Australia, due to the growing gender pay gap, high representation in casual and part time work</w:t>
      </w:r>
      <w:r w:rsidR="000300C0" w:rsidRPr="00B2525C">
        <w:rPr>
          <w:rFonts w:cs="Arial"/>
        </w:rPr>
        <w:t>,</w:t>
      </w:r>
      <w:r w:rsidRPr="00B2525C">
        <w:rPr>
          <w:rFonts w:cs="Arial"/>
        </w:rPr>
        <w:t xml:space="preserve"> and time out of the work force due to child bearing (Women’s Health West, 2021)</w:t>
      </w:r>
      <w:r w:rsidR="000300C0" w:rsidRPr="00B2525C">
        <w:rPr>
          <w:rFonts w:cs="Arial"/>
        </w:rPr>
        <w:t>.</w:t>
      </w:r>
    </w:p>
    <w:p w14:paraId="5588E4CE" w14:textId="77777777" w:rsidR="0068470E" w:rsidRDefault="0068470E" w:rsidP="0068470E">
      <w:pPr>
        <w:rPr>
          <w:rFonts w:cs="Arial"/>
        </w:rPr>
      </w:pPr>
    </w:p>
    <w:p w14:paraId="7FBE83C1" w14:textId="77777777" w:rsidR="00AB4229" w:rsidRDefault="00AB4229" w:rsidP="0068470E">
      <w:pPr>
        <w:rPr>
          <w:rFonts w:cs="Arial"/>
        </w:rPr>
      </w:pPr>
    </w:p>
    <w:p w14:paraId="4AD189E9" w14:textId="77777777" w:rsidR="00AB4229" w:rsidRDefault="00AB4229" w:rsidP="0068470E">
      <w:pPr>
        <w:rPr>
          <w:rFonts w:cs="Arial"/>
        </w:rPr>
      </w:pPr>
    </w:p>
    <w:p w14:paraId="63A480CA" w14:textId="77777777" w:rsidR="00AB4229" w:rsidRDefault="00AB4229" w:rsidP="0068470E">
      <w:pPr>
        <w:rPr>
          <w:rFonts w:cs="Arial"/>
        </w:rPr>
      </w:pPr>
    </w:p>
    <w:p w14:paraId="38EDBAB9" w14:textId="4809DBE4" w:rsidR="005C3348" w:rsidRPr="00B2525C" w:rsidRDefault="005C3348" w:rsidP="0039503D">
      <w:pPr>
        <w:pStyle w:val="Heading4"/>
      </w:pPr>
      <w:r w:rsidRPr="00B2525C">
        <w:lastRenderedPageBreak/>
        <w:t>Living alone</w:t>
      </w:r>
    </w:p>
    <w:p w14:paraId="293D3205" w14:textId="77777777" w:rsidR="00562EF2" w:rsidRDefault="00562EF2" w:rsidP="00435181">
      <w:pPr>
        <w:rPr>
          <w:rFonts w:cs="Arial"/>
        </w:rPr>
      </w:pPr>
    </w:p>
    <w:p w14:paraId="13210FEB" w14:textId="4779DDC2" w:rsidR="00435181" w:rsidRDefault="00435181" w:rsidP="00435181">
      <w:pPr>
        <w:rPr>
          <w:rFonts w:cs="Arial"/>
        </w:rPr>
      </w:pPr>
      <w:r w:rsidRPr="00B2525C">
        <w:rPr>
          <w:rFonts w:cs="Arial"/>
        </w:rPr>
        <w:t>In 2016, the areas with the highest proportion of lone person households were Flemington (33.3 per cent), Keilor Road/Essendon North (31.1 per cent) and Moonee Ponds (31.0%).</w:t>
      </w:r>
    </w:p>
    <w:p w14:paraId="766C7380" w14:textId="77777777" w:rsidR="00DB61AA" w:rsidRDefault="00DB61AA" w:rsidP="00435181">
      <w:pPr>
        <w:rPr>
          <w:rFonts w:cs="Arial"/>
        </w:rPr>
      </w:pPr>
    </w:p>
    <w:p w14:paraId="3997DA21" w14:textId="7EB501E2" w:rsidR="00DB61AA" w:rsidRPr="00DB61AA" w:rsidRDefault="000052A8" w:rsidP="00DB61AA">
      <w:pPr>
        <w:rPr>
          <w:rFonts w:cs="Arial"/>
        </w:rPr>
      </w:pPr>
      <w:r w:rsidRPr="00ED3EC3">
        <w:rPr>
          <w:rFonts w:cs="Arial"/>
          <w:b/>
        </w:rPr>
        <w:t>Figure</w:t>
      </w:r>
      <w:r w:rsidR="00B93B84">
        <w:rPr>
          <w:rFonts w:cs="Arial"/>
          <w:b/>
        </w:rPr>
        <w:t xml:space="preserve"> 12</w:t>
      </w:r>
      <w:r w:rsidR="00B93B84">
        <w:rPr>
          <w:rFonts w:cs="Arial"/>
        </w:rPr>
        <w:t xml:space="preserve">. </w:t>
      </w:r>
      <w:r w:rsidR="00DB61AA" w:rsidRPr="00DB61AA">
        <w:rPr>
          <w:rFonts w:eastAsiaTheme="minorEastAsia" w:cs="Circular Std Book"/>
          <w:color w:val="595959"/>
          <w:kern w:val="24"/>
          <w:sz w:val="28"/>
          <w:szCs w:val="28"/>
          <w:lang w:val="en-US" w:eastAsia="en-AU"/>
          <w14:textFill>
            <w14:solidFill>
              <w14:srgbClr w14:val="595959">
                <w14:lumMod w14:val="65000"/>
                <w14:lumOff w14:val="35000"/>
              </w14:srgbClr>
            </w14:solidFill>
          </w14:textFill>
        </w:rPr>
        <w:t xml:space="preserve"> </w:t>
      </w:r>
      <w:r w:rsidR="00DB61AA" w:rsidRPr="00DB61AA">
        <w:rPr>
          <w:rFonts w:cs="Arial"/>
          <w:lang w:val="en-US"/>
        </w:rPr>
        <w:t xml:space="preserve">Lone person households in Moonee Valley by </w:t>
      </w:r>
      <w:proofErr w:type="spellStart"/>
      <w:r w:rsidR="00DB61AA" w:rsidRPr="00DB61AA">
        <w:rPr>
          <w:rFonts w:cs="Arial"/>
          <w:lang w:val="en-US"/>
        </w:rPr>
        <w:t>neighbourhood</w:t>
      </w:r>
      <w:proofErr w:type="spellEnd"/>
      <w:r w:rsidR="00DB61AA" w:rsidRPr="00DB61AA">
        <w:rPr>
          <w:rFonts w:cs="Arial"/>
          <w:lang w:val="en-US"/>
        </w:rPr>
        <w:t xml:space="preserve">, </w:t>
      </w:r>
      <w:r w:rsidR="00263A11">
        <w:rPr>
          <w:rFonts w:cs="Arial"/>
          <w:lang w:val="en-US"/>
        </w:rPr>
        <w:t>%</w:t>
      </w:r>
      <w:r w:rsidR="00DB61AA" w:rsidRPr="00DB61AA">
        <w:rPr>
          <w:rFonts w:cs="Arial"/>
          <w:lang w:val="en-US"/>
        </w:rPr>
        <w:t xml:space="preserve"> of total households</w:t>
      </w:r>
    </w:p>
    <w:p w14:paraId="1197FBBC" w14:textId="77777777" w:rsidR="00DB61AA" w:rsidRPr="00B2525C" w:rsidRDefault="00DB61AA" w:rsidP="00435181">
      <w:pPr>
        <w:rPr>
          <w:rFonts w:cs="Arial"/>
        </w:rPr>
      </w:pPr>
    </w:p>
    <w:p w14:paraId="0EA10350" w14:textId="77777777" w:rsidR="00435181" w:rsidRPr="00B2525C" w:rsidRDefault="00435181" w:rsidP="00435181">
      <w:pPr>
        <w:rPr>
          <w:rFonts w:cs="Arial"/>
        </w:rPr>
      </w:pPr>
      <w:bookmarkStart w:id="20" w:name="_bookmark21"/>
      <w:bookmarkEnd w:id="20"/>
      <w:r w:rsidRPr="00B2525C">
        <w:rPr>
          <w:rFonts w:cs="Arial"/>
          <w:noProof/>
        </w:rPr>
        <w:drawing>
          <wp:inline distT="0" distB="0" distL="0" distR="0" wp14:anchorId="2630EA39" wp14:editId="3D965FCE">
            <wp:extent cx="6200775" cy="3667125"/>
            <wp:effectExtent l="0" t="0" r="9525" b="9525"/>
            <wp:docPr id="6" name="Chart 6">
              <a:extLst xmlns:a="http://schemas.openxmlformats.org/drawingml/2006/main">
                <a:ext uri="{FF2B5EF4-FFF2-40B4-BE49-F238E27FC236}">
                  <a16:creationId xmlns:a16="http://schemas.microsoft.com/office/drawing/2014/main" id="{7E88361D-F199-45D1-ADF2-02755B264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08C763" w14:textId="77777777" w:rsidR="00435181" w:rsidRPr="00B2525C" w:rsidRDefault="00435181" w:rsidP="00435181">
      <w:pPr>
        <w:pStyle w:val="Caption"/>
        <w:rPr>
          <w:rFonts w:cs="Arial"/>
        </w:rPr>
      </w:pPr>
      <w:r w:rsidRPr="00B2525C">
        <w:rPr>
          <w:rFonts w:cs="Arial"/>
        </w:rPr>
        <w:t>Source: ABS, Census data 2016, compiled by REMPLAN</w:t>
      </w:r>
    </w:p>
    <w:p w14:paraId="35D60B10" w14:textId="77777777" w:rsidR="005C3348" w:rsidRPr="00B2525C" w:rsidRDefault="005C3348" w:rsidP="005C3348">
      <w:pPr>
        <w:pStyle w:val="CommentText"/>
        <w:spacing w:line="360" w:lineRule="auto"/>
        <w:rPr>
          <w:rFonts w:cs="Arial"/>
          <w:sz w:val="22"/>
          <w:szCs w:val="22"/>
        </w:rPr>
      </w:pPr>
    </w:p>
    <w:p w14:paraId="6F734671" w14:textId="77777777" w:rsidR="005C3348" w:rsidRPr="005B5947" w:rsidRDefault="005C3348" w:rsidP="005B5947">
      <w:pPr>
        <w:pStyle w:val="CommentText"/>
        <w:rPr>
          <w:rFonts w:cs="Arial"/>
          <w:sz w:val="24"/>
          <w:szCs w:val="24"/>
        </w:rPr>
      </w:pPr>
      <w:r w:rsidRPr="005B5947">
        <w:rPr>
          <w:rFonts w:cs="Arial"/>
          <w:sz w:val="24"/>
          <w:szCs w:val="24"/>
        </w:rPr>
        <w:t>Population forecasts suggest that between 2016 and 2041 the number of lone person households in Moonee Valley will increase by 57</w:t>
      </w:r>
      <w:r w:rsidR="00C16E91" w:rsidRPr="005B5947">
        <w:rPr>
          <w:rFonts w:cs="Arial"/>
          <w:sz w:val="24"/>
          <w:szCs w:val="24"/>
        </w:rPr>
        <w:t xml:space="preserve"> </w:t>
      </w:r>
      <w:r w:rsidR="0017290D" w:rsidRPr="005B5947">
        <w:rPr>
          <w:rFonts w:cs="Arial"/>
          <w:sz w:val="24"/>
          <w:szCs w:val="24"/>
        </w:rPr>
        <w:t>per cent</w:t>
      </w:r>
      <w:r w:rsidRPr="005B5947">
        <w:rPr>
          <w:rFonts w:cs="Arial"/>
          <w:sz w:val="24"/>
          <w:szCs w:val="24"/>
        </w:rPr>
        <w:t>, the greatest level of growth of any household type across the municipality. There’s also predicted decrease of</w:t>
      </w:r>
      <w:r w:rsidR="00601072" w:rsidRPr="005B5947">
        <w:rPr>
          <w:rFonts w:cs="Arial"/>
          <w:sz w:val="24"/>
          <w:szCs w:val="24"/>
        </w:rPr>
        <w:t xml:space="preserve"> households comprising of</w:t>
      </w:r>
      <w:r w:rsidRPr="005B5947">
        <w:rPr>
          <w:rFonts w:cs="Arial"/>
          <w:sz w:val="24"/>
          <w:szCs w:val="24"/>
        </w:rPr>
        <w:t xml:space="preserve"> couple</w:t>
      </w:r>
      <w:r w:rsidR="00F6767D" w:rsidRPr="005B5947">
        <w:rPr>
          <w:rFonts w:cs="Arial"/>
          <w:sz w:val="24"/>
          <w:szCs w:val="24"/>
        </w:rPr>
        <w:t>s</w:t>
      </w:r>
      <w:r w:rsidRPr="005B5947">
        <w:rPr>
          <w:rFonts w:cs="Arial"/>
          <w:sz w:val="24"/>
          <w:szCs w:val="24"/>
        </w:rPr>
        <w:t xml:space="preserve"> with children (32</w:t>
      </w:r>
      <w:r w:rsidR="0017290D" w:rsidRPr="005B5947">
        <w:rPr>
          <w:rFonts w:cs="Arial"/>
          <w:sz w:val="24"/>
          <w:szCs w:val="24"/>
        </w:rPr>
        <w:t xml:space="preserve"> per cent</w:t>
      </w:r>
      <w:r w:rsidRPr="005B5947">
        <w:rPr>
          <w:rFonts w:cs="Arial"/>
          <w:sz w:val="24"/>
          <w:szCs w:val="24"/>
        </w:rPr>
        <w:t xml:space="preserve"> down to 30</w:t>
      </w:r>
      <w:r w:rsidR="0017290D" w:rsidRPr="005B5947">
        <w:rPr>
          <w:rFonts w:cs="Arial"/>
          <w:sz w:val="24"/>
          <w:szCs w:val="24"/>
        </w:rPr>
        <w:t xml:space="preserve"> per cent</w:t>
      </w:r>
      <w:r w:rsidRPr="005B5947">
        <w:rPr>
          <w:rFonts w:cs="Arial"/>
          <w:sz w:val="24"/>
          <w:szCs w:val="24"/>
        </w:rPr>
        <w:t xml:space="preserve"> (</w:t>
      </w:r>
      <w:r w:rsidR="00435181" w:rsidRPr="005B5947">
        <w:rPr>
          <w:rFonts w:cs="Arial"/>
          <w:sz w:val="24"/>
          <w:szCs w:val="24"/>
        </w:rPr>
        <w:t>REMPLAN</w:t>
      </w:r>
      <w:r w:rsidR="00C162DE" w:rsidRPr="005B5947">
        <w:rPr>
          <w:rFonts w:cs="Arial"/>
          <w:sz w:val="24"/>
          <w:szCs w:val="24"/>
        </w:rPr>
        <w:t>, 2021).</w:t>
      </w:r>
    </w:p>
    <w:p w14:paraId="346250E4" w14:textId="77777777" w:rsidR="00F6767D" w:rsidRPr="00B2525C" w:rsidRDefault="00F6767D">
      <w:pPr>
        <w:pStyle w:val="Heading2"/>
        <w:rPr>
          <w:rFonts w:cs="Arial"/>
        </w:rPr>
      </w:pPr>
      <w:bookmarkStart w:id="21" w:name="Xe919bf7a6b96a50f9d8a23e979c26f72f664fc8"/>
      <w:r w:rsidRPr="00B2525C">
        <w:rPr>
          <w:rFonts w:cs="Arial"/>
        </w:rPr>
        <w:br w:type="page"/>
      </w:r>
    </w:p>
    <w:p w14:paraId="3AC60DC6" w14:textId="66345EE3" w:rsidR="00EC4E90" w:rsidRPr="00B2525C" w:rsidRDefault="00645C51">
      <w:pPr>
        <w:pStyle w:val="Heading2"/>
        <w:rPr>
          <w:rFonts w:cs="Arial"/>
        </w:rPr>
      </w:pPr>
      <w:r w:rsidRPr="00B2525C">
        <w:rPr>
          <w:rFonts w:cs="Arial"/>
        </w:rPr>
        <w:lastRenderedPageBreak/>
        <w:t>D</w:t>
      </w:r>
      <w:r w:rsidR="00B01D14" w:rsidRPr="00B2525C">
        <w:rPr>
          <w:rFonts w:cs="Arial"/>
        </w:rPr>
        <w:t>iversity</w:t>
      </w:r>
      <w:bookmarkEnd w:id="21"/>
      <w:r w:rsidR="00126F74" w:rsidRPr="00B2525C">
        <w:rPr>
          <w:rFonts w:cs="Arial"/>
        </w:rPr>
        <w:t xml:space="preserve"> of </w:t>
      </w:r>
      <w:r w:rsidR="002A53F6" w:rsidRPr="00B2525C">
        <w:rPr>
          <w:rFonts w:cs="Arial"/>
        </w:rPr>
        <w:t>M</w:t>
      </w:r>
      <w:r w:rsidR="00E37EA5" w:rsidRPr="00B2525C">
        <w:rPr>
          <w:rFonts w:cs="Arial"/>
        </w:rPr>
        <w:t xml:space="preserve">oonee Valley </w:t>
      </w:r>
    </w:p>
    <w:p w14:paraId="19B5684A" w14:textId="7BBC36F1" w:rsidR="00263A11" w:rsidRDefault="00C16E91" w:rsidP="00A85DA8">
      <w:pPr>
        <w:rPr>
          <w:rFonts w:cs="Arial"/>
        </w:rPr>
      </w:pPr>
      <w:bookmarkStart w:id="22" w:name="indigenous-population"/>
      <w:r w:rsidRPr="00B2525C">
        <w:rPr>
          <w:rFonts w:cs="Arial"/>
        </w:rPr>
        <w:t>Moonee Valley City Council</w:t>
      </w:r>
      <w:r w:rsidR="00126F74" w:rsidRPr="00B2525C">
        <w:rPr>
          <w:rFonts w:cs="Arial"/>
        </w:rPr>
        <w:t xml:space="preserve"> is home to people from diverse genders, </w:t>
      </w:r>
      <w:r w:rsidR="003B686C" w:rsidRPr="00B2525C">
        <w:rPr>
          <w:rFonts w:cs="Arial"/>
        </w:rPr>
        <w:t>abilities,</w:t>
      </w:r>
      <w:r w:rsidR="00126F74" w:rsidRPr="00B2525C">
        <w:rPr>
          <w:rFonts w:cs="Arial"/>
        </w:rPr>
        <w:t xml:space="preserve"> and cultural and language backgrounds</w:t>
      </w:r>
      <w:r w:rsidR="00B314C7" w:rsidRPr="00B2525C">
        <w:rPr>
          <w:rFonts w:cs="Arial"/>
        </w:rPr>
        <w:t>.</w:t>
      </w:r>
    </w:p>
    <w:p w14:paraId="7E94B66E" w14:textId="77777777" w:rsidR="00F84ABD" w:rsidRPr="00B2525C" w:rsidRDefault="00F84ABD" w:rsidP="00A85DA8">
      <w:pPr>
        <w:rPr>
          <w:rFonts w:cs="Arial"/>
        </w:rPr>
      </w:pPr>
    </w:p>
    <w:p w14:paraId="5F6E955B" w14:textId="1607C115" w:rsidR="00EC4E90" w:rsidRDefault="00562EF2" w:rsidP="00562EF2">
      <w:pPr>
        <w:pStyle w:val="Heading3"/>
        <w:spacing w:before="0"/>
        <w:contextualSpacing/>
        <w:rPr>
          <w:rFonts w:cs="Arial"/>
        </w:rPr>
      </w:pPr>
      <w:r w:rsidRPr="0001191C">
        <w:rPr>
          <w:noProof/>
        </w:rPr>
        <w:drawing>
          <wp:inline distT="0" distB="0" distL="0" distR="0" wp14:anchorId="42870205" wp14:editId="506546EB">
            <wp:extent cx="539750" cy="57214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59" t="6626"/>
                    <a:stretch/>
                  </pic:blipFill>
                  <pic:spPr bwMode="auto">
                    <a:xfrm>
                      <a:off x="0" y="0"/>
                      <a:ext cx="546532" cy="579335"/>
                    </a:xfrm>
                    <a:prstGeom prst="rect">
                      <a:avLst/>
                    </a:prstGeom>
                    <a:ln>
                      <a:noFill/>
                    </a:ln>
                    <a:extLst>
                      <a:ext uri="{53640926-AAD7-44D8-BBD7-CCE9431645EC}">
                        <a14:shadowObscured xmlns:a14="http://schemas.microsoft.com/office/drawing/2010/main"/>
                      </a:ext>
                    </a:extLst>
                  </pic:spPr>
                </pic:pic>
              </a:graphicData>
            </a:graphic>
          </wp:inline>
        </w:drawing>
      </w:r>
      <w:r w:rsidR="00D91FFF" w:rsidRPr="00B2525C">
        <w:rPr>
          <w:rFonts w:cs="Arial"/>
        </w:rPr>
        <w:t>Aboriginal and Torres Strait Islander</w:t>
      </w:r>
      <w:r w:rsidR="00B01D14" w:rsidRPr="00B2525C">
        <w:rPr>
          <w:rFonts w:cs="Arial"/>
        </w:rPr>
        <w:t xml:space="preserve"> </w:t>
      </w:r>
      <w:r w:rsidR="002A53F6" w:rsidRPr="00B2525C">
        <w:rPr>
          <w:rFonts w:cs="Arial"/>
        </w:rPr>
        <w:t xml:space="preserve">peoples </w:t>
      </w:r>
      <w:bookmarkEnd w:id="22"/>
    </w:p>
    <w:p w14:paraId="30649FEC" w14:textId="2BCEC8CA" w:rsidR="00A85DA8" w:rsidRDefault="00126F74" w:rsidP="003C6658">
      <w:pPr>
        <w:rPr>
          <w:rFonts w:cs="Arial"/>
        </w:rPr>
      </w:pPr>
      <w:r w:rsidRPr="00B2525C">
        <w:rPr>
          <w:rFonts w:cs="Arial"/>
        </w:rPr>
        <w:t xml:space="preserve">Council recognises the significant and important role </w:t>
      </w:r>
      <w:r w:rsidR="00C16E91" w:rsidRPr="00B2525C">
        <w:rPr>
          <w:rFonts w:cs="Arial"/>
        </w:rPr>
        <w:t xml:space="preserve">of </w:t>
      </w:r>
      <w:r w:rsidR="002145A7" w:rsidRPr="00B2525C">
        <w:rPr>
          <w:rFonts w:cs="Arial"/>
        </w:rPr>
        <w:t>Aboriginal</w:t>
      </w:r>
      <w:r w:rsidRPr="00B2525C">
        <w:rPr>
          <w:rFonts w:cs="Arial"/>
        </w:rPr>
        <w:t xml:space="preserve"> and Torres Strait Islander people</w:t>
      </w:r>
      <w:r w:rsidR="002A53F6" w:rsidRPr="00B2525C">
        <w:rPr>
          <w:rFonts w:cs="Arial"/>
        </w:rPr>
        <w:t>s</w:t>
      </w:r>
      <w:r w:rsidRPr="00B2525C">
        <w:rPr>
          <w:rFonts w:cs="Arial"/>
        </w:rPr>
        <w:t xml:space="preserve"> and their culture</w:t>
      </w:r>
      <w:r w:rsidR="0029000B" w:rsidRPr="00B2525C">
        <w:rPr>
          <w:rFonts w:cs="Arial"/>
        </w:rPr>
        <w:t xml:space="preserve">. </w:t>
      </w:r>
      <w:r w:rsidR="00D07C52" w:rsidRPr="00B2525C">
        <w:rPr>
          <w:rFonts w:cs="Arial"/>
        </w:rPr>
        <w:t xml:space="preserve">At the 2016 Census, there were 430 </w:t>
      </w:r>
      <w:r w:rsidR="00E37EA5" w:rsidRPr="00B2525C">
        <w:rPr>
          <w:rFonts w:cs="Arial"/>
        </w:rPr>
        <w:t>Moonee Valley City Council</w:t>
      </w:r>
      <w:r w:rsidR="00EF2147" w:rsidRPr="00B2525C">
        <w:rPr>
          <w:rFonts w:cs="Arial"/>
        </w:rPr>
        <w:t xml:space="preserve"> </w:t>
      </w:r>
      <w:r w:rsidR="00D07C52" w:rsidRPr="00B2525C">
        <w:rPr>
          <w:rFonts w:cs="Arial"/>
        </w:rPr>
        <w:t>residents who identified as Aboriginal and/or Torres Strait Islander people</w:t>
      </w:r>
      <w:r w:rsidR="0077288F" w:rsidRPr="00B2525C">
        <w:rPr>
          <w:rFonts w:cs="Arial"/>
        </w:rPr>
        <w:t xml:space="preserve">, which has increased from </w:t>
      </w:r>
      <w:r w:rsidR="003B686C" w:rsidRPr="00B2525C">
        <w:rPr>
          <w:rFonts w:cs="Arial"/>
        </w:rPr>
        <w:t>previous</w:t>
      </w:r>
      <w:r w:rsidR="0077288F" w:rsidRPr="00B2525C">
        <w:rPr>
          <w:rFonts w:cs="Arial"/>
        </w:rPr>
        <w:t xml:space="preserve"> years</w:t>
      </w:r>
      <w:r w:rsidR="002037C4" w:rsidRPr="00B2525C">
        <w:rPr>
          <w:rFonts w:cs="Arial"/>
        </w:rPr>
        <w:t xml:space="preserve">. </w:t>
      </w:r>
      <w:r w:rsidR="00D07C52" w:rsidRPr="00B2525C">
        <w:rPr>
          <w:rFonts w:cs="Arial"/>
        </w:rPr>
        <w:t>This was equal to 0.4 per cent of the Moonee Valley population at the time and is similar to neighbouring municipalities (0.5 per cent in both Moreland and in Maribyrnong)</w:t>
      </w:r>
      <w:r w:rsidR="0029000B" w:rsidRPr="00B2525C">
        <w:rPr>
          <w:rFonts w:cs="Arial"/>
        </w:rPr>
        <w:t xml:space="preserve">. </w:t>
      </w:r>
      <w:r w:rsidR="00D07C52" w:rsidRPr="00B2525C">
        <w:rPr>
          <w:rFonts w:cs="Arial"/>
        </w:rPr>
        <w:t xml:space="preserve">Census data also shows </w:t>
      </w:r>
      <w:r w:rsidR="00B01D14" w:rsidRPr="00B2525C">
        <w:rPr>
          <w:rFonts w:cs="Arial"/>
        </w:rPr>
        <w:t>a lower median age (28 years) for the indigenous population compared to the non-Indigenous population (38 years)</w:t>
      </w:r>
      <w:r w:rsidR="003C6658" w:rsidRPr="00B2525C">
        <w:rPr>
          <w:rFonts w:cs="Arial"/>
        </w:rPr>
        <w:t>.</w:t>
      </w:r>
      <w:r w:rsidR="0077288F" w:rsidRPr="00B2525C">
        <w:rPr>
          <w:rFonts w:cs="Arial"/>
        </w:rPr>
        <w:t xml:space="preserve"> </w:t>
      </w:r>
    </w:p>
    <w:p w14:paraId="1F57EEBD" w14:textId="77777777" w:rsidR="00DB61AA" w:rsidRDefault="00DB61AA" w:rsidP="003C6658">
      <w:pPr>
        <w:rPr>
          <w:rFonts w:cs="Arial"/>
        </w:rPr>
      </w:pPr>
    </w:p>
    <w:p w14:paraId="0B6E7F83" w14:textId="65E6C317" w:rsidR="00DB61AA" w:rsidRPr="00B2525C" w:rsidRDefault="000052A8" w:rsidP="003C6658">
      <w:pPr>
        <w:rPr>
          <w:rFonts w:cs="Arial"/>
        </w:rPr>
      </w:pPr>
      <w:r w:rsidRPr="00ED3EC3">
        <w:rPr>
          <w:rFonts w:cs="Arial"/>
          <w:b/>
          <w:lang w:val="en-US"/>
        </w:rPr>
        <w:t>Figure</w:t>
      </w:r>
      <w:r w:rsidR="00B93B84">
        <w:rPr>
          <w:rFonts w:cs="Arial"/>
          <w:b/>
          <w:lang w:val="en-US"/>
        </w:rPr>
        <w:t xml:space="preserve"> 13.</w:t>
      </w:r>
      <w:r w:rsidR="00B93B84">
        <w:rPr>
          <w:rFonts w:cs="Arial"/>
          <w:lang w:val="en-US"/>
        </w:rPr>
        <w:t xml:space="preserve"> </w:t>
      </w:r>
      <w:r w:rsidR="00DB61AA" w:rsidRPr="00DB61AA">
        <w:rPr>
          <w:rFonts w:cs="Arial"/>
          <w:lang w:val="en-US"/>
        </w:rPr>
        <w:t>Moonee Valley Aboriginal and/or Torres Strait Islander population 2001-2016</w:t>
      </w:r>
    </w:p>
    <w:p w14:paraId="291E7692" w14:textId="77777777" w:rsidR="00EC4E90" w:rsidRPr="00B2525C" w:rsidRDefault="001D44F0" w:rsidP="00B62AAE">
      <w:pPr>
        <w:pStyle w:val="NoSpacing"/>
        <w:rPr>
          <w:rFonts w:ascii="Arial" w:hAnsi="Arial" w:cs="Arial"/>
        </w:rPr>
      </w:pPr>
      <w:r w:rsidRPr="00B2525C">
        <w:rPr>
          <w:rFonts w:ascii="Arial" w:hAnsi="Arial" w:cs="Arial"/>
          <w:noProof/>
        </w:rPr>
        <w:drawing>
          <wp:inline distT="0" distB="0" distL="0" distR="0" wp14:anchorId="4CE6262C" wp14:editId="345332A3">
            <wp:extent cx="5730844" cy="2100404"/>
            <wp:effectExtent l="0" t="0" r="3810" b="0"/>
            <wp:docPr id="81" name="Chart 81">
              <a:extLst xmlns:a="http://schemas.openxmlformats.org/drawingml/2006/main">
                <a:ext uri="{FF2B5EF4-FFF2-40B4-BE49-F238E27FC236}">
                  <a16:creationId xmlns:a16="http://schemas.microsoft.com/office/drawing/2014/main" id="{B465E179-7D5E-4566-97B3-E5B6746B14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B77870" w14:textId="77777777" w:rsidR="00B62AAE" w:rsidRPr="00B2525C" w:rsidRDefault="00B62AAE" w:rsidP="00B62AAE">
      <w:pPr>
        <w:pStyle w:val="Caption"/>
        <w:rPr>
          <w:rFonts w:cs="Arial"/>
        </w:rPr>
      </w:pPr>
      <w:r w:rsidRPr="00B2525C">
        <w:rPr>
          <w:rFonts w:cs="Arial"/>
        </w:rPr>
        <w:t>Source: ABS, Census, 2016</w:t>
      </w:r>
    </w:p>
    <w:p w14:paraId="69941968" w14:textId="77777777" w:rsidR="00EA4929" w:rsidRPr="00B2525C" w:rsidRDefault="00EA4929" w:rsidP="00EA4929">
      <w:pPr>
        <w:rPr>
          <w:rFonts w:cs="Arial"/>
        </w:rPr>
      </w:pPr>
      <w:bookmarkStart w:id="23" w:name="Xa0549387dfad686ce8f36797744e1dd6e2cabc7"/>
    </w:p>
    <w:p w14:paraId="719F97E0" w14:textId="1D43DEE6" w:rsidR="00C51CCC" w:rsidRPr="00B2525C" w:rsidRDefault="00562EF2" w:rsidP="00C51CCC">
      <w:pPr>
        <w:pStyle w:val="Heading3"/>
        <w:rPr>
          <w:rFonts w:cs="Arial"/>
        </w:rPr>
      </w:pPr>
      <w:r w:rsidRPr="00AF482D">
        <w:rPr>
          <w:noProof/>
        </w:rPr>
        <w:drawing>
          <wp:inline distT="0" distB="0" distL="0" distR="0" wp14:anchorId="4FCAEE54" wp14:editId="3725DF03">
            <wp:extent cx="540000" cy="5361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42"/>
                    <a:stretch/>
                  </pic:blipFill>
                  <pic:spPr bwMode="auto">
                    <a:xfrm>
                      <a:off x="0" y="0"/>
                      <a:ext cx="540000" cy="536115"/>
                    </a:xfrm>
                    <a:prstGeom prst="rect">
                      <a:avLst/>
                    </a:prstGeom>
                    <a:ln>
                      <a:noFill/>
                    </a:ln>
                    <a:extLst>
                      <a:ext uri="{53640926-AAD7-44D8-BBD7-CCE9431645EC}">
                        <a14:shadowObscured xmlns:a14="http://schemas.microsoft.com/office/drawing/2010/main"/>
                      </a:ext>
                    </a:extLst>
                  </pic:spPr>
                </pic:pic>
              </a:graphicData>
            </a:graphic>
          </wp:inline>
        </w:drawing>
      </w:r>
      <w:r w:rsidR="00C51CCC" w:rsidRPr="00B2525C">
        <w:rPr>
          <w:rFonts w:cs="Arial"/>
        </w:rPr>
        <w:t xml:space="preserve">LGBTIQA+ </w:t>
      </w:r>
    </w:p>
    <w:p w14:paraId="12925833" w14:textId="5F516A82" w:rsidR="00A55B7D" w:rsidRPr="00B2525C" w:rsidRDefault="00C51CCC" w:rsidP="00C51CCC">
      <w:pPr>
        <w:rPr>
          <w:rFonts w:cs="Arial"/>
        </w:rPr>
      </w:pPr>
      <w:r w:rsidRPr="00B2525C">
        <w:rPr>
          <w:rFonts w:cs="Arial"/>
        </w:rPr>
        <w:t>With the absence of Census data on the LGBTIQA+</w:t>
      </w:r>
      <w:r w:rsidR="0029000B" w:rsidRPr="00B2525C">
        <w:rPr>
          <w:rFonts w:cs="Arial"/>
        </w:rPr>
        <w:t xml:space="preserve"> </w:t>
      </w:r>
      <w:r w:rsidRPr="00B2525C">
        <w:rPr>
          <w:rFonts w:cs="Arial"/>
        </w:rPr>
        <w:t>population, reliable and comprehensive national data</w:t>
      </w:r>
      <w:r w:rsidR="00BF661D" w:rsidRPr="00B2525C">
        <w:rPr>
          <w:rFonts w:cs="Arial"/>
        </w:rPr>
        <w:t xml:space="preserve"> is limited</w:t>
      </w:r>
      <w:r w:rsidRPr="00B2525C">
        <w:rPr>
          <w:rFonts w:cs="Arial"/>
        </w:rPr>
        <w:t xml:space="preserve">. </w:t>
      </w:r>
      <w:r w:rsidR="00C2393B" w:rsidRPr="00B2525C">
        <w:rPr>
          <w:rFonts w:cs="Arial"/>
        </w:rPr>
        <w:t>From the 2017 population health survey</w:t>
      </w:r>
      <w:r w:rsidR="00EC3003">
        <w:rPr>
          <w:rFonts w:cs="Arial"/>
        </w:rPr>
        <w:t>,</w:t>
      </w:r>
      <w:r w:rsidR="00C2393B" w:rsidRPr="00B2525C">
        <w:rPr>
          <w:rFonts w:cs="Arial"/>
        </w:rPr>
        <w:t xml:space="preserve"> the Victorian estimate of adults identifying </w:t>
      </w:r>
      <w:proofErr w:type="gramStart"/>
      <w:r w:rsidR="00C2393B" w:rsidRPr="00B2525C">
        <w:rPr>
          <w:rFonts w:cs="Arial"/>
        </w:rPr>
        <w:t>as  LGBTIQA</w:t>
      </w:r>
      <w:proofErr w:type="gramEnd"/>
      <w:r w:rsidR="00C2393B" w:rsidRPr="00B2525C">
        <w:rPr>
          <w:rFonts w:cs="Arial"/>
        </w:rPr>
        <w:t>+ was 5.7 per cent</w:t>
      </w:r>
      <w:r w:rsidR="00BF661D" w:rsidRPr="00B2525C">
        <w:rPr>
          <w:rFonts w:cs="Arial"/>
        </w:rPr>
        <w:t>,</w:t>
      </w:r>
      <w:r w:rsidR="00C2393B" w:rsidRPr="00B2525C">
        <w:rPr>
          <w:rFonts w:cs="Arial"/>
        </w:rPr>
        <w:t xml:space="preserve"> and for Moonee Valley it was </w:t>
      </w:r>
      <w:r w:rsidR="00C16E91" w:rsidRPr="00B2525C">
        <w:rPr>
          <w:rFonts w:cs="Arial"/>
        </w:rPr>
        <w:t xml:space="preserve">higher at </w:t>
      </w:r>
      <w:r w:rsidR="00C2393B" w:rsidRPr="00B2525C">
        <w:rPr>
          <w:rFonts w:cs="Arial"/>
        </w:rPr>
        <w:t xml:space="preserve">8 per cent. </w:t>
      </w:r>
      <w:r w:rsidR="00BD2C8B" w:rsidRPr="00B2525C">
        <w:rPr>
          <w:rFonts w:cs="Arial"/>
        </w:rPr>
        <w:t xml:space="preserve">Although people identifying as </w:t>
      </w:r>
      <w:r w:rsidRPr="00B2525C">
        <w:rPr>
          <w:rFonts w:cs="Arial"/>
        </w:rPr>
        <w:t>LGBTIQA+</w:t>
      </w:r>
      <w:r w:rsidR="00BF661D" w:rsidRPr="00B2525C">
        <w:rPr>
          <w:rFonts w:cs="Arial"/>
        </w:rPr>
        <w:t xml:space="preserve"> </w:t>
      </w:r>
      <w:r w:rsidR="00BD2C8B" w:rsidRPr="00B2525C">
        <w:rPr>
          <w:rFonts w:cs="Arial"/>
        </w:rPr>
        <w:t xml:space="preserve">lead healthy and connected lives, </w:t>
      </w:r>
      <w:r w:rsidR="002037C4" w:rsidRPr="00B2525C">
        <w:rPr>
          <w:rFonts w:cs="Arial"/>
        </w:rPr>
        <w:t>discrimination</w:t>
      </w:r>
      <w:r w:rsidR="00BD2C8B" w:rsidRPr="00B2525C">
        <w:rPr>
          <w:rFonts w:cs="Arial"/>
        </w:rPr>
        <w:t xml:space="preserve"> and </w:t>
      </w:r>
      <w:r w:rsidR="002037C4" w:rsidRPr="00B2525C">
        <w:rPr>
          <w:rFonts w:cs="Arial"/>
        </w:rPr>
        <w:t>isolation</w:t>
      </w:r>
      <w:r w:rsidR="00BD2C8B" w:rsidRPr="00B2525C">
        <w:rPr>
          <w:rFonts w:cs="Arial"/>
        </w:rPr>
        <w:t xml:space="preserve"> </w:t>
      </w:r>
      <w:r w:rsidR="00BF661D" w:rsidRPr="00B2525C">
        <w:rPr>
          <w:rFonts w:cs="Arial"/>
        </w:rPr>
        <w:t xml:space="preserve">due to their gender identity, </w:t>
      </w:r>
      <w:r w:rsidR="00BD2C8B" w:rsidRPr="00B2525C">
        <w:rPr>
          <w:rFonts w:cs="Arial"/>
        </w:rPr>
        <w:t>can contribute to poor health and wellbeing outcomes</w:t>
      </w:r>
      <w:r w:rsidRPr="00B2525C">
        <w:rPr>
          <w:rFonts w:cs="Arial"/>
        </w:rPr>
        <w:t>,</w:t>
      </w:r>
      <w:r w:rsidR="002037C4" w:rsidRPr="00B2525C">
        <w:rPr>
          <w:rFonts w:cs="Arial"/>
        </w:rPr>
        <w:t xml:space="preserve"> especially poor </w:t>
      </w:r>
      <w:r w:rsidR="00BD2C8B" w:rsidRPr="00B2525C">
        <w:rPr>
          <w:rFonts w:cs="Arial"/>
        </w:rPr>
        <w:t>mental health.</w:t>
      </w:r>
      <w:r w:rsidR="00601072" w:rsidRPr="00B2525C">
        <w:rPr>
          <w:rFonts w:cs="Arial"/>
        </w:rPr>
        <w:t xml:space="preserve"> These poorer health outcomes can be attributed to the impact of </w:t>
      </w:r>
      <w:r w:rsidR="00794F23">
        <w:rPr>
          <w:rFonts w:cs="Arial"/>
        </w:rPr>
        <w:t>‘m</w:t>
      </w:r>
      <w:r w:rsidR="00601072" w:rsidRPr="00B2525C">
        <w:rPr>
          <w:rFonts w:cs="Arial"/>
        </w:rPr>
        <w:t xml:space="preserve">inority </w:t>
      </w:r>
      <w:r w:rsidR="00794F23">
        <w:rPr>
          <w:rFonts w:cs="Arial"/>
        </w:rPr>
        <w:t>s</w:t>
      </w:r>
      <w:r w:rsidR="00601072" w:rsidRPr="00B2525C">
        <w:rPr>
          <w:rFonts w:cs="Arial"/>
        </w:rPr>
        <w:t>tress</w:t>
      </w:r>
      <w:r w:rsidR="00794F23">
        <w:rPr>
          <w:rFonts w:cs="Arial"/>
        </w:rPr>
        <w:t>’</w:t>
      </w:r>
      <w:r w:rsidR="00601072" w:rsidRPr="00B2525C">
        <w:rPr>
          <w:rFonts w:cs="Arial"/>
        </w:rPr>
        <w:t xml:space="preserve"> - the chronic stressors that LGBTIQ+ people are uniquely exposed because of sexuality, gender and bodily diversity being socially stigmatised. This includes discrimination, social exclusion, harassment and physical violence (LGBTIQ+ Health Australia, 2021).</w:t>
      </w:r>
    </w:p>
    <w:p w14:paraId="134E5EB1" w14:textId="77777777" w:rsidR="00F6767D" w:rsidRPr="00B2525C" w:rsidRDefault="00BE2883" w:rsidP="00C51CCC">
      <w:pPr>
        <w:rPr>
          <w:rFonts w:cs="Arial"/>
        </w:rPr>
      </w:pPr>
      <w:r>
        <w:rPr>
          <w:rFonts w:cs="Arial"/>
        </w:rPr>
        <w:br w:type="page"/>
      </w:r>
    </w:p>
    <w:p w14:paraId="40936EB0" w14:textId="4F705043" w:rsidR="00A55B7D" w:rsidRPr="00B2525C" w:rsidRDefault="00562EF2" w:rsidP="00562EF2">
      <w:pPr>
        <w:pStyle w:val="Heading3"/>
        <w:spacing w:before="0"/>
        <w:rPr>
          <w:rFonts w:cs="Arial"/>
        </w:rPr>
      </w:pPr>
      <w:r w:rsidRPr="00AF482D">
        <w:rPr>
          <w:noProof/>
        </w:rPr>
        <w:lastRenderedPageBreak/>
        <w:drawing>
          <wp:inline distT="0" distB="0" distL="0" distR="0" wp14:anchorId="22C3E858" wp14:editId="50B52ED1">
            <wp:extent cx="540000" cy="54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442"/>
                    <a:stretch/>
                  </pic:blipFill>
                  <pic:spPr bwMode="auto">
                    <a:xfrm>
                      <a:off x="0" y="0"/>
                      <a:ext cx="540000" cy="540000"/>
                    </a:xfrm>
                    <a:prstGeom prst="rect">
                      <a:avLst/>
                    </a:prstGeom>
                    <a:ln>
                      <a:noFill/>
                    </a:ln>
                    <a:extLst>
                      <a:ext uri="{53640926-AAD7-44D8-BBD7-CCE9431645EC}">
                        <a14:shadowObscured xmlns:a14="http://schemas.microsoft.com/office/drawing/2010/main"/>
                      </a:ext>
                    </a:extLst>
                  </pic:spPr>
                </pic:pic>
              </a:graphicData>
            </a:graphic>
          </wp:inline>
        </w:drawing>
      </w:r>
      <w:r w:rsidR="00A55B7D" w:rsidRPr="00B2525C">
        <w:rPr>
          <w:rFonts w:cs="Arial"/>
        </w:rPr>
        <w:t>People living with a disability</w:t>
      </w:r>
    </w:p>
    <w:p w14:paraId="730A2D3A" w14:textId="77777777" w:rsidR="00C51CCC" w:rsidRPr="00B2525C" w:rsidRDefault="00C51CCC" w:rsidP="00C918A0">
      <w:pPr>
        <w:pStyle w:val="BodyText"/>
        <w:ind w:left="0"/>
      </w:pPr>
      <w:r w:rsidRPr="00B2525C">
        <w:t xml:space="preserve">The </w:t>
      </w:r>
      <w:r w:rsidR="003B686C" w:rsidRPr="00B2525C">
        <w:t xml:space="preserve">Australian Bureau of Statistics </w:t>
      </w:r>
      <w:r w:rsidRPr="00B2525C">
        <w:t xml:space="preserve">defines </w:t>
      </w:r>
      <w:r w:rsidR="009373B3" w:rsidRPr="00B2525C">
        <w:t>d</w:t>
      </w:r>
      <w:r w:rsidRPr="00B2525C">
        <w:t>isability as “any limitation, restriction or impairment which restricts everyday activities and has lasted, or is likely to last, for at least six months”</w:t>
      </w:r>
      <w:r w:rsidR="002A53F6" w:rsidRPr="00B2525C">
        <w:t xml:space="preserve"> (ABS, 2018)</w:t>
      </w:r>
      <w:r w:rsidR="003475EB" w:rsidRPr="00B2525C">
        <w:t>. Looking at Australian trends</w:t>
      </w:r>
      <w:r w:rsidR="00B314C7" w:rsidRPr="00B2525C">
        <w:t xml:space="preserve"> in 2018</w:t>
      </w:r>
      <w:r w:rsidR="009373B3" w:rsidRPr="00B2525C">
        <w:t>,</w:t>
      </w:r>
      <w:r w:rsidR="003475EB" w:rsidRPr="00B2525C">
        <w:t xml:space="preserve"> the </w:t>
      </w:r>
      <w:r w:rsidR="00A863DA" w:rsidRPr="00B2525C">
        <w:t>ABS</w:t>
      </w:r>
      <w:r w:rsidR="003475EB" w:rsidRPr="00B2525C">
        <w:t xml:space="preserve"> </w:t>
      </w:r>
      <w:r w:rsidR="00A863DA" w:rsidRPr="00B2525C">
        <w:t>reports that</w:t>
      </w:r>
      <w:r w:rsidR="003475EB" w:rsidRPr="00B2525C">
        <w:t xml:space="preserve"> among people living in households</w:t>
      </w:r>
      <w:r w:rsidR="009373B3" w:rsidRPr="00B2525C">
        <w:t>:</w:t>
      </w:r>
    </w:p>
    <w:p w14:paraId="6875FB5C" w14:textId="77777777" w:rsidR="003475EB" w:rsidRPr="00B2525C" w:rsidRDefault="003475EB" w:rsidP="00BE2883">
      <w:pPr>
        <w:numPr>
          <w:ilvl w:val="0"/>
          <w:numId w:val="5"/>
        </w:numPr>
        <w:shd w:val="clear" w:color="auto" w:fill="FFFFFF"/>
        <w:spacing w:before="100" w:beforeAutospacing="1" w:after="100" w:afterAutospacing="1"/>
        <w:rPr>
          <w:rFonts w:eastAsia="Times New Roman" w:cs="Arial"/>
          <w:color w:val="000000"/>
          <w:lang w:eastAsia="en-AU"/>
        </w:rPr>
      </w:pPr>
      <w:r w:rsidRPr="00B2525C">
        <w:rPr>
          <w:rFonts w:eastAsia="Times New Roman" w:cs="Arial"/>
          <w:color w:val="000000"/>
          <w:lang w:eastAsia="en-AU"/>
        </w:rPr>
        <w:t>The prevalence of disability increased with age - one in nine (11.6</w:t>
      </w:r>
      <w:r w:rsidR="00A863DA" w:rsidRPr="00B2525C">
        <w:rPr>
          <w:rFonts w:eastAsia="Times New Roman" w:cs="Arial"/>
          <w:color w:val="000000"/>
          <w:lang w:eastAsia="en-AU"/>
        </w:rPr>
        <w:t xml:space="preserve"> </w:t>
      </w:r>
      <w:r w:rsidR="0017290D" w:rsidRPr="00B2525C">
        <w:rPr>
          <w:rFonts w:eastAsia="Times New Roman" w:cs="Arial"/>
          <w:color w:val="000000"/>
          <w:lang w:eastAsia="en-AU"/>
        </w:rPr>
        <w:t>per cent</w:t>
      </w:r>
      <w:r w:rsidRPr="00B2525C">
        <w:rPr>
          <w:rFonts w:eastAsia="Times New Roman" w:cs="Arial"/>
          <w:color w:val="000000"/>
          <w:lang w:eastAsia="en-AU"/>
        </w:rPr>
        <w:t>) people aged 0-64 years and one in two (49.6</w:t>
      </w:r>
      <w:r w:rsidR="00A863DA" w:rsidRPr="00B2525C">
        <w:rPr>
          <w:rFonts w:eastAsia="Times New Roman" w:cs="Arial"/>
          <w:color w:val="000000"/>
          <w:lang w:eastAsia="en-AU"/>
        </w:rPr>
        <w:t xml:space="preserve"> </w:t>
      </w:r>
      <w:r w:rsidR="0017290D" w:rsidRPr="00B2525C">
        <w:rPr>
          <w:rFonts w:eastAsia="Times New Roman" w:cs="Arial"/>
          <w:color w:val="000000"/>
          <w:lang w:eastAsia="en-AU"/>
        </w:rPr>
        <w:t>per cent</w:t>
      </w:r>
      <w:r w:rsidRPr="00B2525C">
        <w:rPr>
          <w:rFonts w:eastAsia="Times New Roman" w:cs="Arial"/>
          <w:color w:val="000000"/>
          <w:lang w:eastAsia="en-AU"/>
        </w:rPr>
        <w:t>) people aged 65 years and over had disability.</w:t>
      </w:r>
    </w:p>
    <w:p w14:paraId="1138EAD7" w14:textId="77777777" w:rsidR="003475EB" w:rsidRPr="00B2525C" w:rsidRDefault="003475EB" w:rsidP="0000364C">
      <w:pPr>
        <w:numPr>
          <w:ilvl w:val="0"/>
          <w:numId w:val="5"/>
        </w:numPr>
        <w:shd w:val="clear" w:color="auto" w:fill="FFFFFF"/>
        <w:spacing w:before="100" w:beforeAutospacing="1" w:after="100" w:afterAutospacing="1"/>
        <w:rPr>
          <w:rFonts w:eastAsia="Times New Roman" w:cs="Arial"/>
          <w:color w:val="000000"/>
          <w:lang w:eastAsia="en-AU"/>
        </w:rPr>
      </w:pPr>
      <w:r w:rsidRPr="00B2525C">
        <w:rPr>
          <w:rFonts w:eastAsia="Times New Roman" w:cs="Arial"/>
          <w:color w:val="000000"/>
          <w:lang w:eastAsia="en-AU"/>
        </w:rPr>
        <w:t>Disability prevalence was similar for males (17.6</w:t>
      </w:r>
      <w:r w:rsidR="00A863DA" w:rsidRPr="00B2525C">
        <w:rPr>
          <w:rFonts w:eastAsia="Times New Roman" w:cs="Arial"/>
          <w:color w:val="000000"/>
          <w:lang w:eastAsia="en-AU"/>
        </w:rPr>
        <w:t xml:space="preserve"> </w:t>
      </w:r>
      <w:r w:rsidR="0017290D" w:rsidRPr="00B2525C">
        <w:rPr>
          <w:rFonts w:eastAsia="Times New Roman" w:cs="Arial"/>
          <w:color w:val="000000"/>
          <w:lang w:eastAsia="en-AU"/>
        </w:rPr>
        <w:t>per cent</w:t>
      </w:r>
      <w:r w:rsidRPr="00B2525C">
        <w:rPr>
          <w:rFonts w:eastAsia="Times New Roman" w:cs="Arial"/>
          <w:color w:val="000000"/>
          <w:lang w:eastAsia="en-AU"/>
        </w:rPr>
        <w:t>) and females (17.8</w:t>
      </w:r>
      <w:r w:rsidR="00A863DA" w:rsidRPr="00B2525C">
        <w:rPr>
          <w:rFonts w:eastAsia="Times New Roman" w:cs="Arial"/>
          <w:color w:val="000000"/>
          <w:lang w:eastAsia="en-AU"/>
        </w:rPr>
        <w:t xml:space="preserve"> </w:t>
      </w:r>
      <w:r w:rsidR="0017290D" w:rsidRPr="00B2525C">
        <w:rPr>
          <w:rFonts w:eastAsia="Times New Roman" w:cs="Arial"/>
          <w:color w:val="000000"/>
          <w:lang w:eastAsia="en-AU"/>
        </w:rPr>
        <w:t>per cent</w:t>
      </w:r>
      <w:r w:rsidRPr="00B2525C">
        <w:rPr>
          <w:rFonts w:eastAsia="Times New Roman" w:cs="Arial"/>
          <w:color w:val="000000"/>
          <w:lang w:eastAsia="en-AU"/>
        </w:rPr>
        <w:t>).</w:t>
      </w:r>
    </w:p>
    <w:p w14:paraId="4F95FB98" w14:textId="77777777" w:rsidR="003475EB" w:rsidRPr="00B2525C" w:rsidRDefault="003475EB" w:rsidP="0000364C">
      <w:pPr>
        <w:numPr>
          <w:ilvl w:val="0"/>
          <w:numId w:val="5"/>
        </w:numPr>
        <w:shd w:val="clear" w:color="auto" w:fill="FFFFFF"/>
        <w:spacing w:before="100" w:beforeAutospacing="1" w:after="100" w:afterAutospacing="1"/>
        <w:rPr>
          <w:rFonts w:eastAsia="Times New Roman" w:cs="Arial"/>
          <w:color w:val="000000"/>
          <w:lang w:eastAsia="en-AU"/>
        </w:rPr>
      </w:pPr>
      <w:r w:rsidRPr="00B2525C">
        <w:rPr>
          <w:rFonts w:eastAsia="Times New Roman" w:cs="Arial"/>
          <w:color w:val="000000"/>
          <w:lang w:eastAsia="en-AU"/>
        </w:rPr>
        <w:t>5.7</w:t>
      </w:r>
      <w:r w:rsidR="00A863DA" w:rsidRPr="00B2525C">
        <w:rPr>
          <w:rFonts w:eastAsia="Times New Roman" w:cs="Arial"/>
          <w:color w:val="000000"/>
          <w:lang w:eastAsia="en-AU"/>
        </w:rPr>
        <w:t xml:space="preserve"> </w:t>
      </w:r>
      <w:r w:rsidR="0017290D" w:rsidRPr="00B2525C">
        <w:rPr>
          <w:rFonts w:eastAsia="Times New Roman" w:cs="Arial"/>
          <w:color w:val="000000"/>
          <w:lang w:eastAsia="en-AU"/>
        </w:rPr>
        <w:t>per cent</w:t>
      </w:r>
      <w:r w:rsidRPr="00B2525C">
        <w:rPr>
          <w:rFonts w:eastAsia="Times New Roman" w:cs="Arial"/>
          <w:color w:val="000000"/>
          <w:lang w:eastAsia="en-AU"/>
        </w:rPr>
        <w:t xml:space="preserve"> of all Australians had a profound or severe disability.</w:t>
      </w:r>
    </w:p>
    <w:p w14:paraId="47E1C69E" w14:textId="77777777" w:rsidR="003E3586" w:rsidRPr="00B2525C" w:rsidRDefault="003475EB" w:rsidP="0000364C">
      <w:pPr>
        <w:numPr>
          <w:ilvl w:val="0"/>
          <w:numId w:val="5"/>
        </w:numPr>
        <w:shd w:val="clear" w:color="auto" w:fill="FFFFFF"/>
        <w:spacing w:before="100" w:beforeAutospacing="1" w:after="100" w:afterAutospacing="1"/>
        <w:rPr>
          <w:rFonts w:eastAsia="Times New Roman" w:cs="Arial"/>
          <w:color w:val="000000"/>
          <w:lang w:eastAsia="en-AU"/>
        </w:rPr>
      </w:pPr>
      <w:r w:rsidRPr="00B2525C">
        <w:rPr>
          <w:rFonts w:eastAsia="Times New Roman" w:cs="Arial"/>
          <w:color w:val="000000"/>
          <w:lang w:eastAsia="en-AU"/>
        </w:rPr>
        <w:t>Almost one-quarter (23.2</w:t>
      </w:r>
      <w:r w:rsidR="00A863DA" w:rsidRPr="00B2525C">
        <w:rPr>
          <w:rFonts w:eastAsia="Times New Roman" w:cs="Arial"/>
          <w:color w:val="000000"/>
          <w:lang w:eastAsia="en-AU"/>
        </w:rPr>
        <w:t xml:space="preserve"> </w:t>
      </w:r>
      <w:r w:rsidR="0017290D" w:rsidRPr="00B2525C">
        <w:rPr>
          <w:rFonts w:eastAsia="Times New Roman" w:cs="Arial"/>
          <w:color w:val="000000"/>
          <w:lang w:eastAsia="en-AU"/>
        </w:rPr>
        <w:t>per cent</w:t>
      </w:r>
      <w:r w:rsidRPr="00B2525C">
        <w:rPr>
          <w:rFonts w:eastAsia="Times New Roman" w:cs="Arial"/>
          <w:color w:val="000000"/>
          <w:lang w:eastAsia="en-AU"/>
        </w:rPr>
        <w:t>) of all people with disability reported a mental or behavioural disorder as their main condition, up from 21.5</w:t>
      </w:r>
      <w:r w:rsidR="00A863DA" w:rsidRPr="00B2525C">
        <w:rPr>
          <w:rFonts w:eastAsia="Times New Roman" w:cs="Arial"/>
          <w:color w:val="000000"/>
          <w:lang w:eastAsia="en-AU"/>
        </w:rPr>
        <w:t xml:space="preserve"> </w:t>
      </w:r>
      <w:r w:rsidR="0017290D" w:rsidRPr="00B2525C">
        <w:rPr>
          <w:rFonts w:eastAsia="Times New Roman" w:cs="Arial"/>
          <w:color w:val="000000"/>
          <w:lang w:eastAsia="en-AU"/>
        </w:rPr>
        <w:t>per cent</w:t>
      </w:r>
      <w:r w:rsidRPr="00B2525C">
        <w:rPr>
          <w:rFonts w:eastAsia="Times New Roman" w:cs="Arial"/>
          <w:color w:val="000000"/>
          <w:lang w:eastAsia="en-AU"/>
        </w:rPr>
        <w:t xml:space="preserve"> in 2015.</w:t>
      </w:r>
    </w:p>
    <w:p w14:paraId="3B8D716B" w14:textId="667D7C44" w:rsidR="003D3882" w:rsidRDefault="00BF661D" w:rsidP="00BE2883">
      <w:pPr>
        <w:pStyle w:val="BodyText"/>
      </w:pPr>
      <w:r w:rsidRPr="00B2525C">
        <w:t>D</w:t>
      </w:r>
      <w:r w:rsidR="003E3586" w:rsidRPr="00B2525C">
        <w:t xml:space="preserve">ata for </w:t>
      </w:r>
      <w:r w:rsidR="00E37EA5" w:rsidRPr="00B2525C">
        <w:t>Moonee Valley City Council</w:t>
      </w:r>
      <w:r w:rsidR="0029000B" w:rsidRPr="00B2525C">
        <w:t xml:space="preserve"> </w:t>
      </w:r>
      <w:r w:rsidR="003475EB" w:rsidRPr="00B2525C">
        <w:t>indicates that a</w:t>
      </w:r>
      <w:r w:rsidR="003D3882" w:rsidRPr="00B2525C">
        <w:t xml:space="preserve">t least </w:t>
      </w:r>
      <w:r w:rsidR="003475EB" w:rsidRPr="00B2525C">
        <w:t>18</w:t>
      </w:r>
      <w:r w:rsidR="00A863DA" w:rsidRPr="00B2525C">
        <w:t>,</w:t>
      </w:r>
      <w:r w:rsidR="003475EB" w:rsidRPr="00B2525C">
        <w:t>325</w:t>
      </w:r>
      <w:r w:rsidR="00D458CA" w:rsidRPr="00B2525C">
        <w:t xml:space="preserve"> </w:t>
      </w:r>
      <w:r w:rsidR="003D3882" w:rsidRPr="00B2525C">
        <w:t>people are living with a disability</w:t>
      </w:r>
      <w:r w:rsidRPr="00B2525C">
        <w:t>,</w:t>
      </w:r>
      <w:r w:rsidR="003475EB" w:rsidRPr="00B2525C">
        <w:t xml:space="preserve"> and there are more women living with a disability than men (Men: 8,684</w:t>
      </w:r>
      <w:r w:rsidR="00A863DA" w:rsidRPr="00B2525C">
        <w:t>;</w:t>
      </w:r>
      <w:r w:rsidR="009373B3" w:rsidRPr="00B2525C">
        <w:t xml:space="preserve"> Women:</w:t>
      </w:r>
      <w:r w:rsidR="003475EB" w:rsidRPr="00B2525C">
        <w:t xml:space="preserve"> 9,641)</w:t>
      </w:r>
      <w:r w:rsidR="00D458CA" w:rsidRPr="00B2525C">
        <w:t xml:space="preserve">. People living with disability </w:t>
      </w:r>
      <w:r w:rsidR="00B314C7" w:rsidRPr="00B2525C">
        <w:t xml:space="preserve">in Moonee Valley </w:t>
      </w:r>
      <w:r w:rsidR="00D458CA" w:rsidRPr="00B2525C">
        <w:t xml:space="preserve">are more likely to be aged </w:t>
      </w:r>
      <w:r w:rsidR="003475EB" w:rsidRPr="00B2525C">
        <w:t>over 65, and the proportion of men living with a disability over the age of 65 is 45.1</w:t>
      </w:r>
      <w:r w:rsidR="00CD2D66">
        <w:t xml:space="preserve"> per cent</w:t>
      </w:r>
      <w:r w:rsidR="003475EB" w:rsidRPr="00B2525C">
        <w:t xml:space="preserve"> and for women it is </w:t>
      </w:r>
      <w:proofErr w:type="gramStart"/>
      <w:r w:rsidR="003475EB" w:rsidRPr="00B2525C">
        <w:t>44.</w:t>
      </w:r>
      <w:r w:rsidR="00CD2D66">
        <w:t>.</w:t>
      </w:r>
      <w:proofErr w:type="gramEnd"/>
      <w:r w:rsidR="00CD2D66">
        <w:t>8 per cent</w:t>
      </w:r>
      <w:r w:rsidR="003475EB" w:rsidRPr="00B2525C">
        <w:t xml:space="preserve">. </w:t>
      </w:r>
    </w:p>
    <w:p w14:paraId="3C44DD6E" w14:textId="77777777" w:rsidR="00DB61AA" w:rsidRPr="00B2525C" w:rsidRDefault="00DB61AA" w:rsidP="00BE2883">
      <w:pPr>
        <w:pStyle w:val="BodyText"/>
      </w:pPr>
    </w:p>
    <w:p w14:paraId="38EF8A58" w14:textId="1F6BD084" w:rsidR="00DB61AA" w:rsidRPr="00DB61AA" w:rsidRDefault="000052A8" w:rsidP="00DB61AA">
      <w:pPr>
        <w:rPr>
          <w:rFonts w:cs="Arial"/>
        </w:rPr>
      </w:pPr>
      <w:r w:rsidRPr="00ED3EC3">
        <w:rPr>
          <w:rFonts w:cs="Arial"/>
          <w:b/>
        </w:rPr>
        <w:t>Figure</w:t>
      </w:r>
      <w:r w:rsidR="00B93B84">
        <w:rPr>
          <w:rFonts w:cs="Arial"/>
          <w:b/>
        </w:rPr>
        <w:t xml:space="preserve"> 14</w:t>
      </w:r>
      <w:r w:rsidR="00B93B84">
        <w:rPr>
          <w:rFonts w:cs="Arial"/>
        </w:rPr>
        <w:t>.</w:t>
      </w:r>
      <w:r w:rsidR="00DB61AA">
        <w:rPr>
          <w:rFonts w:cs="Arial"/>
        </w:rPr>
        <w:t xml:space="preserve"> </w:t>
      </w:r>
      <w:r w:rsidR="00DB61AA" w:rsidRPr="00DB61AA">
        <w:rPr>
          <w:rFonts w:cs="Arial"/>
        </w:rPr>
        <w:t xml:space="preserve">Proportion of Moonee Valley population living in households with a disability, by sex </w:t>
      </w:r>
    </w:p>
    <w:p w14:paraId="589B3373" w14:textId="77777777" w:rsidR="00D458CA" w:rsidRPr="00B2525C" w:rsidRDefault="00D458CA" w:rsidP="003475EB">
      <w:pPr>
        <w:rPr>
          <w:rFonts w:cs="Arial"/>
        </w:rPr>
      </w:pPr>
    </w:p>
    <w:p w14:paraId="5511A8AE" w14:textId="77777777" w:rsidR="000B12CA" w:rsidRPr="00B2525C" w:rsidRDefault="000B12CA" w:rsidP="00BE2883">
      <w:pPr>
        <w:pStyle w:val="BodyText"/>
      </w:pPr>
      <w:r w:rsidRPr="00B2525C">
        <w:rPr>
          <w:noProof/>
        </w:rPr>
        <w:drawing>
          <wp:inline distT="0" distB="0" distL="0" distR="0" wp14:anchorId="76CA6A15" wp14:editId="4E54A3C9">
            <wp:extent cx="5721790" cy="2725093"/>
            <wp:effectExtent l="0" t="0" r="12700" b="18415"/>
            <wp:docPr id="229" name="Chart 229">
              <a:extLst xmlns:a="http://schemas.openxmlformats.org/drawingml/2006/main">
                <a:ext uri="{FF2B5EF4-FFF2-40B4-BE49-F238E27FC236}">
                  <a16:creationId xmlns:a16="http://schemas.microsoft.com/office/drawing/2014/main" id="{4A08226D-5861-42DB-9B6A-46B45C110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80F640" w14:textId="77777777" w:rsidR="000B12CA" w:rsidRPr="00794F23" w:rsidRDefault="00364B32" w:rsidP="00BE2883">
      <w:pPr>
        <w:pStyle w:val="BodyText"/>
        <w:rPr>
          <w:i/>
          <w:sz w:val="20"/>
          <w:szCs w:val="20"/>
        </w:rPr>
      </w:pPr>
      <w:r w:rsidRPr="00794F23">
        <w:rPr>
          <w:i/>
          <w:sz w:val="20"/>
          <w:szCs w:val="20"/>
        </w:rPr>
        <w:t>Source: ABS, 2018</w:t>
      </w:r>
      <w:r w:rsidR="00435181" w:rsidRPr="00794F23">
        <w:rPr>
          <w:i/>
          <w:sz w:val="20"/>
          <w:szCs w:val="20"/>
        </w:rPr>
        <w:t>a</w:t>
      </w:r>
    </w:p>
    <w:p w14:paraId="6B73C353" w14:textId="77777777" w:rsidR="000B12CA" w:rsidRPr="00B2525C" w:rsidRDefault="000B12CA" w:rsidP="00BE2883">
      <w:pPr>
        <w:pStyle w:val="BodyText"/>
      </w:pPr>
    </w:p>
    <w:p w14:paraId="53192B55" w14:textId="77777777" w:rsidR="00BE2883" w:rsidRDefault="00BE2883" w:rsidP="00BE2883">
      <w:pPr>
        <w:pStyle w:val="BodyText"/>
      </w:pPr>
      <w:r>
        <w:br w:type="page"/>
      </w:r>
    </w:p>
    <w:p w14:paraId="07A0302D" w14:textId="63BAE0E3" w:rsidR="00941B15" w:rsidRDefault="00C51CCC" w:rsidP="00BE2883">
      <w:pPr>
        <w:pStyle w:val="BodyText"/>
      </w:pPr>
      <w:r w:rsidRPr="00B2525C">
        <w:lastRenderedPageBreak/>
        <w:t>The Australian Bureau of Statistics Core Activity Need for Assistance indicator measures the number of people with a profound or severe disability. This includes people needing help in the three core activity areas of self-care, mobility and communication</w:t>
      </w:r>
      <w:r w:rsidR="00BF661D" w:rsidRPr="00B2525C">
        <w:t>,</w:t>
      </w:r>
      <w:r w:rsidRPr="00B2525C">
        <w:t xml:space="preserve"> as a result of a long-term health condition</w:t>
      </w:r>
      <w:r w:rsidR="00794F23">
        <w:t xml:space="preserve"> </w:t>
      </w:r>
      <w:r w:rsidR="00794F23" w:rsidRPr="00B2525C">
        <w:t>(more than 6 months)</w:t>
      </w:r>
      <w:r w:rsidRPr="00B2525C">
        <w:t>, disability, or old age.</w:t>
      </w:r>
      <w:r w:rsidR="009373B3" w:rsidRPr="00B2525C">
        <w:t xml:space="preserve"> Approximately </w:t>
      </w:r>
      <w:r w:rsidR="00941B15" w:rsidRPr="00B2525C">
        <w:t>five per cent of Moonee Valley residents have a core need for assistance with activities for daily living</w:t>
      </w:r>
      <w:r w:rsidR="00A863DA" w:rsidRPr="00B2525C">
        <w:t>, which is slightly less than the national average (5.8</w:t>
      </w:r>
      <w:r w:rsidR="00CD2D66">
        <w:t xml:space="preserve"> per cent</w:t>
      </w:r>
      <w:r w:rsidR="00A863DA" w:rsidRPr="00B2525C">
        <w:t>)</w:t>
      </w:r>
      <w:r w:rsidR="00941B15" w:rsidRPr="00B2525C">
        <w:t xml:space="preserve">. Older Moonee Valley residents are more likely to </w:t>
      </w:r>
      <w:r w:rsidR="00D458CA" w:rsidRPr="00B2525C">
        <w:t>require assistance for daily living</w:t>
      </w:r>
      <w:r w:rsidR="00941B15" w:rsidRPr="00B2525C">
        <w:t>,</w:t>
      </w:r>
      <w:r w:rsidR="00BF661D" w:rsidRPr="00B2525C">
        <w:t xml:space="preserve"> compared to younger ages</w:t>
      </w:r>
      <w:r w:rsidR="00941B15" w:rsidRPr="00B2525C">
        <w:t xml:space="preserve">. For those aged 85 years and over, </w:t>
      </w:r>
      <w:r w:rsidR="009373B3" w:rsidRPr="00B2525C">
        <w:t xml:space="preserve">this equates to </w:t>
      </w:r>
      <w:r w:rsidR="00941B15" w:rsidRPr="00B2525C">
        <w:t xml:space="preserve">56 per cent of </w:t>
      </w:r>
      <w:r w:rsidR="00794F23">
        <w:t>women</w:t>
      </w:r>
      <w:r w:rsidR="00941B15" w:rsidRPr="00B2525C">
        <w:t xml:space="preserve"> and 47 per cent of </w:t>
      </w:r>
      <w:r w:rsidR="00794F23">
        <w:t>men</w:t>
      </w:r>
      <w:r w:rsidR="009373B3" w:rsidRPr="00B2525C">
        <w:t>.</w:t>
      </w:r>
      <w:r w:rsidR="00941B15" w:rsidRPr="00B2525C">
        <w:t xml:space="preserve"> </w:t>
      </w:r>
    </w:p>
    <w:p w14:paraId="2764EF16" w14:textId="77777777" w:rsidR="00DB61AA" w:rsidRDefault="00DB61AA" w:rsidP="00BE2883">
      <w:pPr>
        <w:pStyle w:val="BodyText"/>
      </w:pPr>
    </w:p>
    <w:p w14:paraId="6634F66E" w14:textId="61A0F6BC" w:rsidR="00DB61AA" w:rsidRPr="00DB61AA" w:rsidRDefault="000052A8" w:rsidP="00DB61AA">
      <w:pPr>
        <w:pStyle w:val="BodyText"/>
        <w:rPr>
          <w:lang w:val="en-AU"/>
        </w:rPr>
      </w:pPr>
      <w:r w:rsidRPr="00ED3EC3">
        <w:rPr>
          <w:b/>
          <w:lang w:val="en-AU"/>
        </w:rPr>
        <w:t>Figure</w:t>
      </w:r>
      <w:r w:rsidR="00B93B84">
        <w:rPr>
          <w:lang w:val="en-AU"/>
        </w:rPr>
        <w:t xml:space="preserve"> </w:t>
      </w:r>
      <w:r w:rsidR="00B93B84" w:rsidRPr="00B9259C">
        <w:rPr>
          <w:b/>
          <w:lang w:val="en-AU"/>
        </w:rPr>
        <w:t>15</w:t>
      </w:r>
      <w:r w:rsidR="00B93B84">
        <w:rPr>
          <w:lang w:val="en-AU"/>
        </w:rPr>
        <w:t xml:space="preserve">. </w:t>
      </w:r>
      <w:r w:rsidR="00DB61AA" w:rsidRPr="00DB61AA">
        <w:rPr>
          <w:lang w:val="en-AU"/>
        </w:rPr>
        <w:t>Proportion of the Moonee Valley City Council population with a need for assistance, by age and sex</w:t>
      </w:r>
    </w:p>
    <w:p w14:paraId="18DED931" w14:textId="77777777" w:rsidR="00DB61AA" w:rsidRDefault="00DB61AA" w:rsidP="00BE2883">
      <w:pPr>
        <w:pStyle w:val="BodyText"/>
      </w:pPr>
    </w:p>
    <w:p w14:paraId="383EF09D" w14:textId="77777777" w:rsidR="00BE2883" w:rsidRPr="00B2525C" w:rsidRDefault="00BE2883" w:rsidP="00BE2883">
      <w:pPr>
        <w:pStyle w:val="BodyText"/>
      </w:pPr>
    </w:p>
    <w:p w14:paraId="61A17945" w14:textId="77777777" w:rsidR="00941B15" w:rsidRPr="00B2525C" w:rsidRDefault="00941B15" w:rsidP="00941B15">
      <w:pPr>
        <w:pStyle w:val="NoSpacing"/>
        <w:rPr>
          <w:rFonts w:ascii="Arial" w:hAnsi="Arial" w:cs="Arial"/>
        </w:rPr>
      </w:pPr>
      <w:r w:rsidRPr="00B2525C">
        <w:rPr>
          <w:rFonts w:ascii="Arial" w:hAnsi="Arial" w:cs="Arial"/>
          <w:noProof/>
        </w:rPr>
        <w:drawing>
          <wp:inline distT="0" distB="0" distL="0" distR="0" wp14:anchorId="201C2F1D" wp14:editId="74481DE2">
            <wp:extent cx="5613149" cy="4645025"/>
            <wp:effectExtent l="0" t="0" r="6985" b="3175"/>
            <wp:docPr id="70" name="Chart 70">
              <a:extLst xmlns:a="http://schemas.openxmlformats.org/drawingml/2006/main">
                <a:ext uri="{FF2B5EF4-FFF2-40B4-BE49-F238E27FC236}">
                  <a16:creationId xmlns:a16="http://schemas.microsoft.com/office/drawing/2014/main" id="{26D3DE4B-54A5-4E03-8A98-469688AF3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B63BCA" w14:textId="77777777" w:rsidR="00941B15" w:rsidRPr="00B2525C" w:rsidRDefault="00941B15" w:rsidP="00941B15">
      <w:pPr>
        <w:pStyle w:val="Caption"/>
        <w:rPr>
          <w:rFonts w:cs="Arial"/>
        </w:rPr>
      </w:pPr>
      <w:r w:rsidRPr="00B2525C">
        <w:rPr>
          <w:rFonts w:cs="Arial"/>
        </w:rPr>
        <w:t>Source: ABS, Census 2016</w:t>
      </w:r>
    </w:p>
    <w:p w14:paraId="0C206132" w14:textId="77777777" w:rsidR="00BE2883" w:rsidRDefault="00BE2883" w:rsidP="00A55B7D">
      <w:pPr>
        <w:rPr>
          <w:rFonts w:cs="Arial"/>
        </w:rPr>
      </w:pPr>
      <w:r>
        <w:rPr>
          <w:rFonts w:cs="Arial"/>
        </w:rPr>
        <w:br w:type="page"/>
      </w:r>
    </w:p>
    <w:p w14:paraId="513D601A" w14:textId="54758834" w:rsidR="00B314C7" w:rsidRDefault="00562EF2" w:rsidP="00584AC0">
      <w:pPr>
        <w:pStyle w:val="Heading3"/>
        <w:rPr>
          <w:rFonts w:cs="Arial"/>
        </w:rPr>
      </w:pPr>
      <w:r w:rsidRPr="00AF482D">
        <w:rPr>
          <w:noProof/>
        </w:rPr>
        <w:lastRenderedPageBreak/>
        <w:drawing>
          <wp:inline distT="0" distB="0" distL="0" distR="0" wp14:anchorId="3BF71738" wp14:editId="1142A181">
            <wp:extent cx="540000" cy="54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48" r="-1"/>
                    <a:stretch/>
                  </pic:blipFill>
                  <pic:spPr bwMode="auto">
                    <a:xfrm>
                      <a:off x="0" y="0"/>
                      <a:ext cx="540000" cy="540000"/>
                    </a:xfrm>
                    <a:prstGeom prst="rect">
                      <a:avLst/>
                    </a:prstGeom>
                    <a:ln>
                      <a:noFill/>
                    </a:ln>
                    <a:extLst>
                      <a:ext uri="{53640926-AAD7-44D8-BBD7-CCE9431645EC}">
                        <a14:shadowObscured xmlns:a14="http://schemas.microsoft.com/office/drawing/2010/main"/>
                      </a:ext>
                    </a:extLst>
                  </pic:spPr>
                </pic:pic>
              </a:graphicData>
            </a:graphic>
          </wp:inline>
        </w:drawing>
      </w:r>
      <w:r w:rsidR="00B314C7" w:rsidRPr="00B2525C">
        <w:rPr>
          <w:rFonts w:cs="Arial"/>
        </w:rPr>
        <w:t>Carers</w:t>
      </w:r>
    </w:p>
    <w:p w14:paraId="3A9CB457" w14:textId="5104ECEF" w:rsidR="00941B15" w:rsidRDefault="00CD2D66" w:rsidP="00A55B7D">
      <w:pPr>
        <w:rPr>
          <w:rFonts w:cs="Arial"/>
        </w:rPr>
      </w:pPr>
      <w:r>
        <w:t>Carers can face a number of challenges</w:t>
      </w:r>
      <w:r w:rsidR="00DE70DF" w:rsidRPr="00B2525C">
        <w:rPr>
          <w:rFonts w:cs="Arial"/>
        </w:rPr>
        <w:t>. Challenges include financial hardship, social isolation</w:t>
      </w:r>
      <w:r w:rsidR="00BF661D" w:rsidRPr="00B2525C">
        <w:rPr>
          <w:rFonts w:cs="Arial"/>
        </w:rPr>
        <w:t xml:space="preserve">, </w:t>
      </w:r>
      <w:r w:rsidR="00DE70DF" w:rsidRPr="00B2525C">
        <w:rPr>
          <w:rFonts w:cs="Arial"/>
        </w:rPr>
        <w:t>relationship</w:t>
      </w:r>
      <w:r w:rsidR="00BF661D" w:rsidRPr="00B2525C">
        <w:rPr>
          <w:rFonts w:cs="Arial"/>
        </w:rPr>
        <w:t xml:space="preserve"> strain</w:t>
      </w:r>
      <w:r w:rsidR="00DE70DF" w:rsidRPr="00B2525C">
        <w:rPr>
          <w:rFonts w:cs="Arial"/>
        </w:rPr>
        <w:t xml:space="preserve">, as well as missing out on work, career and education </w:t>
      </w:r>
      <w:r w:rsidR="00DE70DF" w:rsidRPr="007A6318">
        <w:rPr>
          <w:rFonts w:cs="Arial"/>
        </w:rPr>
        <w:t>opportunities</w:t>
      </w:r>
      <w:r w:rsidRPr="007A6318">
        <w:rPr>
          <w:rFonts w:cs="Arial"/>
        </w:rPr>
        <w:t xml:space="preserve"> (</w:t>
      </w:r>
      <w:r w:rsidR="007A6318" w:rsidRPr="007A6318">
        <w:rPr>
          <w:rFonts w:cs="Arial"/>
        </w:rPr>
        <w:t>Sarris et al, 2020)</w:t>
      </w:r>
      <w:r w:rsidR="00DE70DF" w:rsidRPr="007A6318">
        <w:rPr>
          <w:rFonts w:cs="Arial"/>
        </w:rPr>
        <w:t>.</w:t>
      </w:r>
      <w:r w:rsidR="00DE70DF" w:rsidRPr="00B2525C">
        <w:rPr>
          <w:rFonts w:cs="Arial"/>
        </w:rPr>
        <w:t xml:space="preserve"> Women are two and a half times more likely to be a primary carer of someone with disability than men. Data from the 2016 Census indicates 12 per cent of the </w:t>
      </w:r>
      <w:r w:rsidR="00364B32" w:rsidRPr="00B2525C">
        <w:rPr>
          <w:rFonts w:cs="Arial"/>
        </w:rPr>
        <w:t xml:space="preserve">Australian </w:t>
      </w:r>
      <w:r w:rsidR="00DE70DF" w:rsidRPr="00B2525C">
        <w:rPr>
          <w:rFonts w:cs="Arial"/>
        </w:rPr>
        <w:t xml:space="preserve">population aged 15 years and over provided unpaid assistance to a person with disability, long term illness or old age. Those between 50 and 64 years were most likely to be carers. </w:t>
      </w:r>
    </w:p>
    <w:p w14:paraId="28BF40DA" w14:textId="77777777" w:rsidR="00794F23" w:rsidRPr="00B2525C" w:rsidRDefault="00794F23" w:rsidP="00A55B7D">
      <w:pPr>
        <w:rPr>
          <w:rFonts w:cs="Arial"/>
        </w:rPr>
      </w:pPr>
    </w:p>
    <w:p w14:paraId="4C27BD77" w14:textId="77777777" w:rsidR="00501F51" w:rsidRPr="00B2525C" w:rsidRDefault="00501F51" w:rsidP="00A55B7D">
      <w:pPr>
        <w:rPr>
          <w:rFonts w:cs="Arial"/>
        </w:rPr>
      </w:pPr>
      <w:r w:rsidRPr="00B2525C">
        <w:rPr>
          <w:rFonts w:cs="Arial"/>
        </w:rPr>
        <w:t>Across Victoria nearly 10% of people report unpaid caring responsibilities</w:t>
      </w:r>
      <w:r w:rsidR="004C3B7A" w:rsidRPr="00B2525C">
        <w:rPr>
          <w:rFonts w:cs="Arial"/>
        </w:rPr>
        <w:t xml:space="preserve"> to people living with long term health conditions or disabilities</w:t>
      </w:r>
      <w:r w:rsidRPr="00B2525C">
        <w:rPr>
          <w:rFonts w:cs="Arial"/>
        </w:rPr>
        <w:t>. Women in Moonee Valley are more likely to provide unpaid assistance to people living with disabilities (Female 11.8%; Male 8.0%).</w:t>
      </w:r>
    </w:p>
    <w:p w14:paraId="2B9C6901" w14:textId="77777777" w:rsidR="00DB22B2" w:rsidRPr="00B2525C" w:rsidRDefault="00DB22B2" w:rsidP="00A55B7D">
      <w:pPr>
        <w:rPr>
          <w:rFonts w:cs="Arial"/>
        </w:rPr>
      </w:pPr>
    </w:p>
    <w:p w14:paraId="2A751EFC" w14:textId="0B6DC6D2" w:rsidR="004C2076" w:rsidRPr="00ED3EC3" w:rsidRDefault="00DB61AA" w:rsidP="00A55B7D">
      <w:pPr>
        <w:rPr>
          <w:rFonts w:cs="Arial"/>
        </w:rPr>
      </w:pPr>
      <w:r>
        <w:rPr>
          <w:rFonts w:cs="Arial"/>
          <w:b/>
        </w:rPr>
        <w:t>Table</w:t>
      </w:r>
      <w:r w:rsidR="0039503D">
        <w:rPr>
          <w:rFonts w:cs="Arial"/>
          <w:b/>
        </w:rPr>
        <w:t xml:space="preserve"> 4.</w:t>
      </w:r>
      <w:r>
        <w:rPr>
          <w:rFonts w:cs="Arial"/>
          <w:b/>
        </w:rPr>
        <w:t xml:space="preserve"> </w:t>
      </w:r>
      <w:r w:rsidR="001A32FE" w:rsidRPr="00ED3EC3">
        <w:rPr>
          <w:rFonts w:cs="Arial"/>
        </w:rPr>
        <w:t>Unpaid assistance to a person with a disability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1527"/>
        <w:gridCol w:w="1495"/>
        <w:gridCol w:w="1526"/>
        <w:gridCol w:w="1496"/>
        <w:gridCol w:w="1496"/>
      </w:tblGrid>
      <w:tr w:rsidR="001A32FE" w:rsidRPr="00B2525C" w14:paraId="6649C686" w14:textId="77777777" w:rsidTr="00ED3EC3">
        <w:tc>
          <w:tcPr>
            <w:tcW w:w="1623" w:type="dxa"/>
          </w:tcPr>
          <w:p w14:paraId="6A32784B" w14:textId="77777777" w:rsidR="001A32FE" w:rsidRPr="00B2525C" w:rsidRDefault="001A32FE" w:rsidP="00ED3EC3">
            <w:pPr>
              <w:spacing w:line="276" w:lineRule="auto"/>
              <w:rPr>
                <w:rFonts w:cs="Arial"/>
              </w:rPr>
            </w:pPr>
          </w:p>
        </w:tc>
        <w:tc>
          <w:tcPr>
            <w:tcW w:w="3246" w:type="dxa"/>
            <w:gridSpan w:val="2"/>
            <w:tcBorders>
              <w:top w:val="single" w:sz="4" w:space="0" w:color="auto"/>
              <w:bottom w:val="single" w:sz="4" w:space="0" w:color="auto"/>
            </w:tcBorders>
          </w:tcPr>
          <w:p w14:paraId="2D3DD1C7" w14:textId="77777777" w:rsidR="001A32FE" w:rsidRPr="00B2525C" w:rsidRDefault="001A32FE" w:rsidP="00ED3EC3">
            <w:pPr>
              <w:spacing w:line="276" w:lineRule="auto"/>
              <w:jc w:val="center"/>
              <w:rPr>
                <w:rFonts w:cs="Arial"/>
              </w:rPr>
            </w:pPr>
            <w:r w:rsidRPr="00B2525C">
              <w:rPr>
                <w:rFonts w:cs="Arial"/>
              </w:rPr>
              <w:t>Moonee Valley</w:t>
            </w:r>
          </w:p>
        </w:tc>
        <w:tc>
          <w:tcPr>
            <w:tcW w:w="4871" w:type="dxa"/>
            <w:gridSpan w:val="3"/>
            <w:tcBorders>
              <w:top w:val="single" w:sz="4" w:space="0" w:color="auto"/>
              <w:bottom w:val="single" w:sz="4" w:space="0" w:color="auto"/>
            </w:tcBorders>
          </w:tcPr>
          <w:p w14:paraId="37A594C9" w14:textId="77777777" w:rsidR="001A32FE" w:rsidRPr="00B2525C" w:rsidRDefault="001A32FE" w:rsidP="00ED3EC3">
            <w:pPr>
              <w:spacing w:line="276" w:lineRule="auto"/>
              <w:jc w:val="center"/>
              <w:rPr>
                <w:rFonts w:cs="Arial"/>
              </w:rPr>
            </w:pPr>
            <w:r w:rsidRPr="00B2525C">
              <w:rPr>
                <w:rFonts w:cs="Arial"/>
              </w:rPr>
              <w:t>Victoria</w:t>
            </w:r>
            <w:r w:rsidR="004C3B7A" w:rsidRPr="00B2525C">
              <w:rPr>
                <w:rFonts w:cs="Arial"/>
              </w:rPr>
              <w:t xml:space="preserve">n </w:t>
            </w:r>
            <w:r w:rsidRPr="00B2525C">
              <w:rPr>
                <w:rFonts w:cs="Arial"/>
              </w:rPr>
              <w:t>average</w:t>
            </w:r>
          </w:p>
        </w:tc>
      </w:tr>
      <w:tr w:rsidR="004C2076" w:rsidRPr="00B2525C" w14:paraId="7C2AB2AE" w14:textId="77777777" w:rsidTr="00ED3EC3">
        <w:tc>
          <w:tcPr>
            <w:tcW w:w="1623" w:type="dxa"/>
          </w:tcPr>
          <w:p w14:paraId="3751E4E9" w14:textId="77777777" w:rsidR="004C2076" w:rsidRPr="00B2525C" w:rsidRDefault="004C2076" w:rsidP="00ED3EC3">
            <w:pPr>
              <w:spacing w:line="276" w:lineRule="auto"/>
              <w:jc w:val="center"/>
              <w:rPr>
                <w:rFonts w:cs="Arial"/>
              </w:rPr>
            </w:pPr>
          </w:p>
        </w:tc>
        <w:tc>
          <w:tcPr>
            <w:tcW w:w="1623" w:type="dxa"/>
            <w:tcBorders>
              <w:top w:val="single" w:sz="4" w:space="0" w:color="auto"/>
            </w:tcBorders>
          </w:tcPr>
          <w:p w14:paraId="5BC79D81" w14:textId="77777777" w:rsidR="004C2076" w:rsidRPr="00B2525C" w:rsidRDefault="004C2076" w:rsidP="00ED3EC3">
            <w:pPr>
              <w:spacing w:line="276" w:lineRule="auto"/>
              <w:jc w:val="center"/>
              <w:rPr>
                <w:rFonts w:cs="Arial"/>
              </w:rPr>
            </w:pPr>
            <w:r w:rsidRPr="00B2525C">
              <w:rPr>
                <w:rFonts w:cs="Arial"/>
              </w:rPr>
              <w:t>Female</w:t>
            </w:r>
          </w:p>
        </w:tc>
        <w:tc>
          <w:tcPr>
            <w:tcW w:w="1623" w:type="dxa"/>
            <w:tcBorders>
              <w:top w:val="single" w:sz="4" w:space="0" w:color="auto"/>
            </w:tcBorders>
          </w:tcPr>
          <w:p w14:paraId="13F2360F" w14:textId="77777777" w:rsidR="004C2076" w:rsidRPr="00B2525C" w:rsidRDefault="004C2076" w:rsidP="00ED3EC3">
            <w:pPr>
              <w:spacing w:line="276" w:lineRule="auto"/>
              <w:jc w:val="center"/>
              <w:rPr>
                <w:rFonts w:cs="Arial"/>
              </w:rPr>
            </w:pPr>
            <w:r w:rsidRPr="00B2525C">
              <w:rPr>
                <w:rFonts w:cs="Arial"/>
              </w:rPr>
              <w:t>Male</w:t>
            </w:r>
          </w:p>
        </w:tc>
        <w:tc>
          <w:tcPr>
            <w:tcW w:w="1623" w:type="dxa"/>
            <w:tcBorders>
              <w:top w:val="single" w:sz="4" w:space="0" w:color="auto"/>
            </w:tcBorders>
          </w:tcPr>
          <w:p w14:paraId="4E1088E8" w14:textId="77777777" w:rsidR="004C2076" w:rsidRPr="00B2525C" w:rsidRDefault="004C2076" w:rsidP="00ED3EC3">
            <w:pPr>
              <w:spacing w:line="276" w:lineRule="auto"/>
              <w:jc w:val="center"/>
              <w:rPr>
                <w:rFonts w:cs="Arial"/>
              </w:rPr>
            </w:pPr>
            <w:r w:rsidRPr="00B2525C">
              <w:rPr>
                <w:rFonts w:cs="Arial"/>
              </w:rPr>
              <w:t>Female</w:t>
            </w:r>
          </w:p>
        </w:tc>
        <w:tc>
          <w:tcPr>
            <w:tcW w:w="1624" w:type="dxa"/>
            <w:tcBorders>
              <w:top w:val="single" w:sz="4" w:space="0" w:color="auto"/>
            </w:tcBorders>
          </w:tcPr>
          <w:p w14:paraId="6B61139B" w14:textId="77777777" w:rsidR="004C2076" w:rsidRPr="00B2525C" w:rsidRDefault="004C2076" w:rsidP="00ED3EC3">
            <w:pPr>
              <w:spacing w:line="276" w:lineRule="auto"/>
              <w:jc w:val="center"/>
              <w:rPr>
                <w:rFonts w:cs="Arial"/>
              </w:rPr>
            </w:pPr>
            <w:r w:rsidRPr="00B2525C">
              <w:rPr>
                <w:rFonts w:cs="Arial"/>
              </w:rPr>
              <w:t>Male</w:t>
            </w:r>
          </w:p>
        </w:tc>
        <w:tc>
          <w:tcPr>
            <w:tcW w:w="1624" w:type="dxa"/>
            <w:tcBorders>
              <w:top w:val="single" w:sz="4" w:space="0" w:color="auto"/>
            </w:tcBorders>
          </w:tcPr>
          <w:p w14:paraId="063A0DA9" w14:textId="77777777" w:rsidR="004C2076" w:rsidRPr="00B2525C" w:rsidRDefault="001A32FE" w:rsidP="00ED3EC3">
            <w:pPr>
              <w:spacing w:line="276" w:lineRule="auto"/>
              <w:jc w:val="center"/>
              <w:rPr>
                <w:rFonts w:cs="Arial"/>
              </w:rPr>
            </w:pPr>
            <w:r w:rsidRPr="00B2525C">
              <w:rPr>
                <w:rFonts w:cs="Arial"/>
              </w:rPr>
              <w:t>All</w:t>
            </w:r>
          </w:p>
        </w:tc>
      </w:tr>
      <w:tr w:rsidR="004C2076" w:rsidRPr="00B2525C" w14:paraId="4573C8F0" w14:textId="77777777" w:rsidTr="00ED3EC3">
        <w:tc>
          <w:tcPr>
            <w:tcW w:w="1623" w:type="dxa"/>
          </w:tcPr>
          <w:p w14:paraId="0D15B673" w14:textId="77777777" w:rsidR="004C2076" w:rsidRPr="00B2525C" w:rsidRDefault="004C2076" w:rsidP="00ED3EC3">
            <w:pPr>
              <w:spacing w:line="276" w:lineRule="auto"/>
              <w:jc w:val="center"/>
              <w:rPr>
                <w:rFonts w:cs="Arial"/>
              </w:rPr>
            </w:pPr>
            <w:r w:rsidRPr="00B2525C">
              <w:rPr>
                <w:rFonts w:cs="Arial"/>
              </w:rPr>
              <w:t>2016</w:t>
            </w:r>
          </w:p>
        </w:tc>
        <w:tc>
          <w:tcPr>
            <w:tcW w:w="1623" w:type="dxa"/>
          </w:tcPr>
          <w:p w14:paraId="1505095C" w14:textId="77777777" w:rsidR="004C2076" w:rsidRPr="00B2525C" w:rsidRDefault="004C2076" w:rsidP="00ED3EC3">
            <w:pPr>
              <w:spacing w:line="276" w:lineRule="auto"/>
              <w:jc w:val="center"/>
              <w:rPr>
                <w:rFonts w:cs="Arial"/>
              </w:rPr>
            </w:pPr>
            <w:r w:rsidRPr="00B2525C">
              <w:rPr>
                <w:rFonts w:cs="Arial"/>
              </w:rPr>
              <w:t>11.8%</w:t>
            </w:r>
          </w:p>
        </w:tc>
        <w:tc>
          <w:tcPr>
            <w:tcW w:w="1623" w:type="dxa"/>
          </w:tcPr>
          <w:p w14:paraId="7D44CF02" w14:textId="77777777" w:rsidR="004C2076" w:rsidRPr="00B2525C" w:rsidRDefault="004C2076" w:rsidP="00ED3EC3">
            <w:pPr>
              <w:spacing w:line="276" w:lineRule="auto"/>
              <w:jc w:val="center"/>
              <w:rPr>
                <w:rFonts w:cs="Arial"/>
              </w:rPr>
            </w:pPr>
            <w:r w:rsidRPr="00B2525C">
              <w:rPr>
                <w:rFonts w:cs="Arial"/>
              </w:rPr>
              <w:t>8.0%</w:t>
            </w:r>
          </w:p>
        </w:tc>
        <w:tc>
          <w:tcPr>
            <w:tcW w:w="1623" w:type="dxa"/>
          </w:tcPr>
          <w:p w14:paraId="53C66F98" w14:textId="77777777" w:rsidR="004C2076" w:rsidRPr="00B2525C" w:rsidRDefault="004C2076" w:rsidP="00ED3EC3">
            <w:pPr>
              <w:spacing w:line="276" w:lineRule="auto"/>
              <w:jc w:val="center"/>
              <w:rPr>
                <w:rFonts w:cs="Arial"/>
              </w:rPr>
            </w:pPr>
            <w:r w:rsidRPr="00B2525C">
              <w:rPr>
                <w:rFonts w:cs="Arial"/>
              </w:rPr>
              <w:t>11.9%</w:t>
            </w:r>
          </w:p>
        </w:tc>
        <w:tc>
          <w:tcPr>
            <w:tcW w:w="1624" w:type="dxa"/>
          </w:tcPr>
          <w:p w14:paraId="7EB3FB66" w14:textId="77777777" w:rsidR="004C2076" w:rsidRPr="00B2525C" w:rsidRDefault="001A32FE" w:rsidP="00ED3EC3">
            <w:pPr>
              <w:spacing w:line="276" w:lineRule="auto"/>
              <w:jc w:val="center"/>
              <w:rPr>
                <w:rFonts w:cs="Arial"/>
              </w:rPr>
            </w:pPr>
            <w:r w:rsidRPr="00B2525C">
              <w:rPr>
                <w:rFonts w:cs="Arial"/>
              </w:rPr>
              <w:t>8.0%</w:t>
            </w:r>
          </w:p>
        </w:tc>
        <w:tc>
          <w:tcPr>
            <w:tcW w:w="1624" w:type="dxa"/>
          </w:tcPr>
          <w:p w14:paraId="59C06872" w14:textId="77777777" w:rsidR="004C2076" w:rsidRPr="00B2525C" w:rsidRDefault="001A32FE" w:rsidP="00ED3EC3">
            <w:pPr>
              <w:spacing w:line="276" w:lineRule="auto"/>
              <w:jc w:val="center"/>
              <w:rPr>
                <w:rFonts w:cs="Arial"/>
              </w:rPr>
            </w:pPr>
            <w:r w:rsidRPr="00B2525C">
              <w:rPr>
                <w:rFonts w:cs="Arial"/>
              </w:rPr>
              <w:t>9.9%</w:t>
            </w:r>
          </w:p>
        </w:tc>
      </w:tr>
    </w:tbl>
    <w:p w14:paraId="73630A1A" w14:textId="75EDC4A7" w:rsidR="00364B32" w:rsidRPr="002077B5" w:rsidRDefault="001A32FE" w:rsidP="00A55B7D">
      <w:pPr>
        <w:rPr>
          <w:rFonts w:cs="Arial"/>
          <w:i/>
          <w:sz w:val="18"/>
          <w:szCs w:val="18"/>
        </w:rPr>
      </w:pPr>
      <w:r w:rsidRPr="00BE2883">
        <w:rPr>
          <w:rFonts w:cs="Arial"/>
          <w:i/>
          <w:sz w:val="18"/>
          <w:szCs w:val="18"/>
        </w:rPr>
        <w:t>Source: ABS census citied in VWH Atlas Fact Sheet</w:t>
      </w:r>
    </w:p>
    <w:p w14:paraId="398787B9" w14:textId="170D84AB" w:rsidR="00EA1C02" w:rsidRPr="00C918A0" w:rsidRDefault="002077B5" w:rsidP="00C918A0">
      <w:pPr>
        <w:pStyle w:val="Heading3"/>
      </w:pPr>
      <w:r w:rsidRPr="0001191C">
        <w:rPr>
          <w:noProof/>
        </w:rPr>
        <w:drawing>
          <wp:inline distT="0" distB="0" distL="0" distR="0" wp14:anchorId="7CA74259" wp14:editId="37A9534F">
            <wp:extent cx="540000" cy="5364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843" t="1" b="3403"/>
                    <a:stretch/>
                  </pic:blipFill>
                  <pic:spPr bwMode="auto">
                    <a:xfrm>
                      <a:off x="0" y="0"/>
                      <a:ext cx="540000" cy="536424"/>
                    </a:xfrm>
                    <a:prstGeom prst="rect">
                      <a:avLst/>
                    </a:prstGeom>
                    <a:ln>
                      <a:noFill/>
                    </a:ln>
                    <a:extLst>
                      <a:ext uri="{53640926-AAD7-44D8-BBD7-CCE9431645EC}">
                        <a14:shadowObscured xmlns:a14="http://schemas.microsoft.com/office/drawing/2010/main"/>
                      </a:ext>
                    </a:extLst>
                  </pic:spPr>
                </pic:pic>
              </a:graphicData>
            </a:graphic>
          </wp:inline>
        </w:drawing>
      </w:r>
      <w:r w:rsidR="00EA1C02" w:rsidRPr="00C918A0">
        <w:t xml:space="preserve">People from CALD </w:t>
      </w:r>
      <w:r w:rsidR="00D62FD1">
        <w:t>and</w:t>
      </w:r>
      <w:r w:rsidR="000233C8" w:rsidRPr="00C918A0">
        <w:t xml:space="preserve"> </w:t>
      </w:r>
      <w:r w:rsidR="00EA1C02" w:rsidRPr="00C918A0">
        <w:t xml:space="preserve">non-English speaking backgrounds </w:t>
      </w:r>
    </w:p>
    <w:p w14:paraId="1F6E9CD9" w14:textId="77777777" w:rsidR="00EC4E90" w:rsidRPr="00B2525C" w:rsidRDefault="00B753BC" w:rsidP="00C918A0">
      <w:pPr>
        <w:pStyle w:val="BodyText"/>
        <w:ind w:left="0"/>
      </w:pPr>
      <w:r w:rsidRPr="00B2525C">
        <w:t xml:space="preserve">The City of Moonee Valley has a culturally diverse community profile with 32,268 people </w:t>
      </w:r>
      <w:r w:rsidR="003B686C" w:rsidRPr="00B2525C">
        <w:t>arriving from</w:t>
      </w:r>
      <w:r w:rsidR="0029000B" w:rsidRPr="00B2525C">
        <w:t xml:space="preserve"> </w:t>
      </w:r>
      <w:r w:rsidR="003B686C" w:rsidRPr="00B2525C">
        <w:t>overseas in 2016</w:t>
      </w:r>
      <w:r w:rsidRPr="00B2525C">
        <w:t>; 6,368 (19.7 per cent) of whom having arrived in the previous five years</w:t>
      </w:r>
      <w:r w:rsidR="003B686C" w:rsidRPr="00B2525C">
        <w:t xml:space="preserve">. In 2016 </w:t>
      </w:r>
      <w:r w:rsidRPr="00B2525C">
        <w:t>just over a quarter (27.6 per cent) of the community in the City of Moonee Valley were born</w:t>
      </w:r>
      <w:r w:rsidRPr="00B2525C">
        <w:rPr>
          <w:spacing w:val="-31"/>
        </w:rPr>
        <w:t xml:space="preserve"> </w:t>
      </w:r>
      <w:r w:rsidRPr="00B2525C">
        <w:t>overseas</w:t>
      </w:r>
      <w:r w:rsidR="003B686C" w:rsidRPr="00B2525C">
        <w:t xml:space="preserve"> (</w:t>
      </w:r>
      <w:r w:rsidR="00A863DA" w:rsidRPr="00B2525C">
        <w:t>ABS</w:t>
      </w:r>
      <w:r w:rsidR="003B686C" w:rsidRPr="00B2525C">
        <w:t>, 2016).</w:t>
      </w:r>
      <w:bookmarkEnd w:id="23"/>
      <w:r w:rsidR="00A058BC" w:rsidRPr="00B2525C">
        <w:t xml:space="preserve"> </w:t>
      </w:r>
      <w:r w:rsidR="00B01D14" w:rsidRPr="00B2525C">
        <w:t>The most common languages spoken at home (other than English) by residents of the City of Moonee Valley are Italian, Greek, Vietnamese, Mandarin, Cantonese and Arabic.</w:t>
      </w:r>
    </w:p>
    <w:p w14:paraId="71840619" w14:textId="77777777" w:rsidR="00DB61AA" w:rsidRDefault="00DB61AA" w:rsidP="00BE2883">
      <w:pPr>
        <w:pStyle w:val="BodyText"/>
      </w:pPr>
    </w:p>
    <w:p w14:paraId="70EAE20B" w14:textId="15946FDC" w:rsidR="00DB61AA" w:rsidRDefault="00DB61AA" w:rsidP="00BE2883">
      <w:pPr>
        <w:pStyle w:val="BodyText"/>
      </w:pPr>
      <w:r w:rsidRPr="00ED3EC3">
        <w:rPr>
          <w:b/>
        </w:rPr>
        <w:t>Table</w:t>
      </w:r>
      <w:r w:rsidR="0039503D">
        <w:rPr>
          <w:b/>
        </w:rPr>
        <w:t xml:space="preserve"> 5.</w:t>
      </w:r>
      <w:r>
        <w:t xml:space="preserve"> </w:t>
      </w:r>
      <w:r w:rsidR="00ED3EC3">
        <w:t xml:space="preserve">Top 7 Languages spoken at home other than English in MVCC </w:t>
      </w:r>
    </w:p>
    <w:p w14:paraId="7DEEAEA9" w14:textId="77777777" w:rsidR="00BE2883" w:rsidRPr="00B2525C" w:rsidRDefault="00BE2883" w:rsidP="00BE2883">
      <w:pPr>
        <w:pStyle w:val="BodyText"/>
        <w:rPr>
          <w:position w:val="8"/>
          <w:sz w:val="14"/>
        </w:rPr>
      </w:pPr>
    </w:p>
    <w:tbl>
      <w:tblPr>
        <w:tblW w:w="5941" w:type="dxa"/>
        <w:jc w:val="center"/>
        <w:tblLayout w:type="fixed"/>
        <w:tblLook w:val="0420" w:firstRow="1" w:lastRow="0" w:firstColumn="0" w:lastColumn="0" w:noHBand="0" w:noVBand="1"/>
      </w:tblPr>
      <w:tblGrid>
        <w:gridCol w:w="3016"/>
        <w:gridCol w:w="1389"/>
        <w:gridCol w:w="1536"/>
      </w:tblGrid>
      <w:tr w:rsidR="00EC4E90" w:rsidRPr="00B2525C" w14:paraId="4A019B15" w14:textId="77777777" w:rsidTr="00ED3EC3">
        <w:trPr>
          <w:cantSplit/>
          <w:tblHeader/>
          <w:jc w:val="center"/>
        </w:trPr>
        <w:tc>
          <w:tcPr>
            <w:tcW w:w="30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AF9489" w14:textId="77777777" w:rsidR="00EC4E90" w:rsidRPr="00ED3EC3" w:rsidRDefault="00B01D14" w:rsidP="00ED3EC3">
            <w:pPr>
              <w:spacing w:before="40" w:after="40" w:line="276" w:lineRule="auto"/>
              <w:ind w:left="100" w:right="100"/>
              <w:rPr>
                <w:rFonts w:cs="Arial"/>
              </w:rPr>
            </w:pPr>
            <w:r w:rsidRPr="00ED3EC3">
              <w:rPr>
                <w:rFonts w:eastAsia="Arial" w:cs="Arial"/>
                <w:color w:val="111111"/>
              </w:rPr>
              <w:t>Language spoken at home</w:t>
            </w:r>
          </w:p>
        </w:tc>
        <w:tc>
          <w:tcPr>
            <w:tcW w:w="1389"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2E23173" w14:textId="77777777" w:rsidR="00EC4E90" w:rsidRPr="00ED3EC3" w:rsidRDefault="00B01D14" w:rsidP="00ED3EC3">
            <w:pPr>
              <w:spacing w:before="40" w:after="40" w:line="276" w:lineRule="auto"/>
              <w:ind w:left="100" w:right="100"/>
              <w:jc w:val="center"/>
              <w:rPr>
                <w:rFonts w:cs="Arial"/>
              </w:rPr>
            </w:pPr>
            <w:r w:rsidRPr="00ED3EC3">
              <w:rPr>
                <w:rFonts w:eastAsia="Arial" w:cs="Arial"/>
                <w:color w:val="111111"/>
              </w:rPr>
              <w:t>Residents</w:t>
            </w:r>
          </w:p>
        </w:tc>
        <w:tc>
          <w:tcPr>
            <w:tcW w:w="153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8FCEEA" w14:textId="77777777" w:rsidR="00EC4E90" w:rsidRPr="00ED3EC3" w:rsidRDefault="00B01D14" w:rsidP="00ED3EC3">
            <w:pPr>
              <w:spacing w:before="40" w:after="40" w:line="276" w:lineRule="auto"/>
              <w:ind w:left="100" w:right="100"/>
              <w:jc w:val="center"/>
              <w:rPr>
                <w:rFonts w:cs="Arial"/>
              </w:rPr>
            </w:pPr>
            <w:r w:rsidRPr="00ED3EC3">
              <w:rPr>
                <w:rFonts w:eastAsia="Arial" w:cs="Arial"/>
                <w:color w:val="111111"/>
              </w:rPr>
              <w:t>Percentage</w:t>
            </w:r>
          </w:p>
        </w:tc>
      </w:tr>
      <w:tr w:rsidR="00EC4E90" w:rsidRPr="00B2525C" w14:paraId="13520CE3" w14:textId="77777777" w:rsidTr="00ED3EC3">
        <w:trPr>
          <w:cantSplit/>
          <w:jc w:val="center"/>
        </w:trPr>
        <w:tc>
          <w:tcPr>
            <w:tcW w:w="3016" w:type="dxa"/>
            <w:tcBorders>
              <w:top w:val="single" w:sz="4" w:space="0" w:color="auto"/>
            </w:tcBorders>
            <w:shd w:val="clear" w:color="auto" w:fill="FFFFFF"/>
            <w:tcMar>
              <w:top w:w="0" w:type="dxa"/>
              <w:left w:w="0" w:type="dxa"/>
              <w:bottom w:w="0" w:type="dxa"/>
              <w:right w:w="0" w:type="dxa"/>
            </w:tcMar>
            <w:vAlign w:val="center"/>
          </w:tcPr>
          <w:p w14:paraId="3AA757AF" w14:textId="77777777" w:rsidR="00EC4E90" w:rsidRPr="00ED3EC3" w:rsidRDefault="00B01D14" w:rsidP="00ED3EC3">
            <w:pPr>
              <w:spacing w:before="40" w:after="40" w:line="276" w:lineRule="auto"/>
              <w:ind w:left="100" w:right="100"/>
              <w:rPr>
                <w:rFonts w:cs="Arial"/>
              </w:rPr>
            </w:pPr>
            <w:r w:rsidRPr="00ED3EC3">
              <w:rPr>
                <w:rFonts w:eastAsia="Arial" w:cs="Arial"/>
                <w:color w:val="111111"/>
              </w:rPr>
              <w:t>English</w:t>
            </w:r>
          </w:p>
        </w:tc>
        <w:tc>
          <w:tcPr>
            <w:tcW w:w="1389" w:type="dxa"/>
            <w:tcBorders>
              <w:top w:val="single" w:sz="4" w:space="0" w:color="auto"/>
            </w:tcBorders>
            <w:shd w:val="clear" w:color="auto" w:fill="FFFFFF"/>
            <w:tcMar>
              <w:top w:w="0" w:type="dxa"/>
              <w:left w:w="0" w:type="dxa"/>
              <w:bottom w:w="0" w:type="dxa"/>
              <w:right w:w="0" w:type="dxa"/>
            </w:tcMar>
            <w:vAlign w:val="center"/>
          </w:tcPr>
          <w:p w14:paraId="40DBB35C"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75,216</w:t>
            </w:r>
          </w:p>
        </w:tc>
        <w:tc>
          <w:tcPr>
            <w:tcW w:w="1536" w:type="dxa"/>
            <w:tcBorders>
              <w:top w:val="single" w:sz="4" w:space="0" w:color="auto"/>
            </w:tcBorders>
            <w:shd w:val="clear" w:color="auto" w:fill="FFFFFF"/>
            <w:tcMar>
              <w:top w:w="0" w:type="dxa"/>
              <w:left w:w="0" w:type="dxa"/>
              <w:bottom w:w="0" w:type="dxa"/>
              <w:right w:w="0" w:type="dxa"/>
            </w:tcMar>
            <w:vAlign w:val="center"/>
          </w:tcPr>
          <w:p w14:paraId="477CA1A5"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64.5</w:t>
            </w:r>
          </w:p>
        </w:tc>
      </w:tr>
      <w:tr w:rsidR="00EC4E90" w:rsidRPr="00B2525C" w14:paraId="4F68BACA" w14:textId="77777777" w:rsidTr="00ED3EC3">
        <w:trPr>
          <w:cantSplit/>
          <w:jc w:val="center"/>
        </w:trPr>
        <w:tc>
          <w:tcPr>
            <w:tcW w:w="3016" w:type="dxa"/>
            <w:shd w:val="clear" w:color="auto" w:fill="FFFFFF"/>
            <w:tcMar>
              <w:top w:w="0" w:type="dxa"/>
              <w:left w:w="0" w:type="dxa"/>
              <w:bottom w:w="0" w:type="dxa"/>
              <w:right w:w="0" w:type="dxa"/>
            </w:tcMar>
            <w:vAlign w:val="center"/>
          </w:tcPr>
          <w:p w14:paraId="4DC5210D" w14:textId="77777777" w:rsidR="00EC4E90" w:rsidRPr="00ED3EC3" w:rsidRDefault="00B01D14" w:rsidP="00ED3EC3">
            <w:pPr>
              <w:spacing w:before="40" w:after="40" w:line="276" w:lineRule="auto"/>
              <w:ind w:left="100" w:right="100"/>
              <w:rPr>
                <w:rFonts w:cs="Arial"/>
              </w:rPr>
            </w:pPr>
            <w:r w:rsidRPr="00ED3EC3">
              <w:rPr>
                <w:rFonts w:eastAsia="Arial" w:cs="Arial"/>
                <w:color w:val="111111"/>
              </w:rPr>
              <w:t>Italian</w:t>
            </w:r>
          </w:p>
        </w:tc>
        <w:tc>
          <w:tcPr>
            <w:tcW w:w="1389" w:type="dxa"/>
            <w:shd w:val="clear" w:color="auto" w:fill="FFFFFF"/>
            <w:tcMar>
              <w:top w:w="0" w:type="dxa"/>
              <w:left w:w="0" w:type="dxa"/>
              <w:bottom w:w="0" w:type="dxa"/>
              <w:right w:w="0" w:type="dxa"/>
            </w:tcMar>
            <w:vAlign w:val="center"/>
          </w:tcPr>
          <w:p w14:paraId="1E91DF98"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7,916</w:t>
            </w:r>
          </w:p>
        </w:tc>
        <w:tc>
          <w:tcPr>
            <w:tcW w:w="1536" w:type="dxa"/>
            <w:shd w:val="clear" w:color="auto" w:fill="FFFFFF"/>
            <w:tcMar>
              <w:top w:w="0" w:type="dxa"/>
              <w:left w:w="0" w:type="dxa"/>
              <w:bottom w:w="0" w:type="dxa"/>
              <w:right w:w="0" w:type="dxa"/>
            </w:tcMar>
            <w:vAlign w:val="center"/>
          </w:tcPr>
          <w:p w14:paraId="5D3B84F6"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6.8</w:t>
            </w:r>
          </w:p>
        </w:tc>
      </w:tr>
      <w:tr w:rsidR="00EC4E90" w:rsidRPr="00B2525C" w14:paraId="6D7C4496" w14:textId="77777777" w:rsidTr="00ED3EC3">
        <w:trPr>
          <w:cantSplit/>
          <w:jc w:val="center"/>
        </w:trPr>
        <w:tc>
          <w:tcPr>
            <w:tcW w:w="3016" w:type="dxa"/>
            <w:shd w:val="clear" w:color="auto" w:fill="FFFFFF"/>
            <w:tcMar>
              <w:top w:w="0" w:type="dxa"/>
              <w:left w:w="0" w:type="dxa"/>
              <w:bottom w:w="0" w:type="dxa"/>
              <w:right w:w="0" w:type="dxa"/>
            </w:tcMar>
            <w:vAlign w:val="center"/>
          </w:tcPr>
          <w:p w14:paraId="7FD2C706" w14:textId="77777777" w:rsidR="00EC4E90" w:rsidRPr="00ED3EC3" w:rsidRDefault="00B01D14" w:rsidP="00ED3EC3">
            <w:pPr>
              <w:spacing w:before="40" w:after="40" w:line="276" w:lineRule="auto"/>
              <w:ind w:left="100" w:right="100"/>
              <w:rPr>
                <w:rFonts w:cs="Arial"/>
              </w:rPr>
            </w:pPr>
            <w:r w:rsidRPr="00ED3EC3">
              <w:rPr>
                <w:rFonts w:eastAsia="Arial" w:cs="Arial"/>
                <w:color w:val="111111"/>
              </w:rPr>
              <w:t>Greek</w:t>
            </w:r>
          </w:p>
        </w:tc>
        <w:tc>
          <w:tcPr>
            <w:tcW w:w="1389" w:type="dxa"/>
            <w:shd w:val="clear" w:color="auto" w:fill="FFFFFF"/>
            <w:tcMar>
              <w:top w:w="0" w:type="dxa"/>
              <w:left w:w="0" w:type="dxa"/>
              <w:bottom w:w="0" w:type="dxa"/>
              <w:right w:w="0" w:type="dxa"/>
            </w:tcMar>
            <w:vAlign w:val="center"/>
          </w:tcPr>
          <w:p w14:paraId="542A23BF"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3,631</w:t>
            </w:r>
          </w:p>
        </w:tc>
        <w:tc>
          <w:tcPr>
            <w:tcW w:w="1536" w:type="dxa"/>
            <w:shd w:val="clear" w:color="auto" w:fill="FFFFFF"/>
            <w:tcMar>
              <w:top w:w="0" w:type="dxa"/>
              <w:left w:w="0" w:type="dxa"/>
              <w:bottom w:w="0" w:type="dxa"/>
              <w:right w:w="0" w:type="dxa"/>
            </w:tcMar>
            <w:vAlign w:val="center"/>
          </w:tcPr>
          <w:p w14:paraId="6FAA25E2"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3.1</w:t>
            </w:r>
          </w:p>
        </w:tc>
      </w:tr>
      <w:tr w:rsidR="00EC4E90" w:rsidRPr="00B2525C" w14:paraId="21E78B81" w14:textId="77777777" w:rsidTr="00ED3EC3">
        <w:trPr>
          <w:cantSplit/>
          <w:jc w:val="center"/>
        </w:trPr>
        <w:tc>
          <w:tcPr>
            <w:tcW w:w="3016" w:type="dxa"/>
            <w:shd w:val="clear" w:color="auto" w:fill="FFFFFF"/>
            <w:tcMar>
              <w:top w:w="0" w:type="dxa"/>
              <w:left w:w="0" w:type="dxa"/>
              <w:bottom w:w="0" w:type="dxa"/>
              <w:right w:w="0" w:type="dxa"/>
            </w:tcMar>
            <w:vAlign w:val="center"/>
          </w:tcPr>
          <w:p w14:paraId="53602780" w14:textId="77777777" w:rsidR="00EC4E90" w:rsidRPr="00ED3EC3" w:rsidRDefault="00B01D14" w:rsidP="00ED3EC3">
            <w:pPr>
              <w:spacing w:before="40" w:after="40" w:line="276" w:lineRule="auto"/>
              <w:ind w:left="100" w:right="100"/>
              <w:rPr>
                <w:rFonts w:cs="Arial"/>
              </w:rPr>
            </w:pPr>
            <w:r w:rsidRPr="00ED3EC3">
              <w:rPr>
                <w:rFonts w:eastAsia="Arial" w:cs="Arial"/>
                <w:color w:val="111111"/>
              </w:rPr>
              <w:t>Vietnamese</w:t>
            </w:r>
          </w:p>
        </w:tc>
        <w:tc>
          <w:tcPr>
            <w:tcW w:w="1389" w:type="dxa"/>
            <w:shd w:val="clear" w:color="auto" w:fill="FFFFFF"/>
            <w:tcMar>
              <w:top w:w="0" w:type="dxa"/>
              <w:left w:w="0" w:type="dxa"/>
              <w:bottom w:w="0" w:type="dxa"/>
              <w:right w:w="0" w:type="dxa"/>
            </w:tcMar>
            <w:vAlign w:val="center"/>
          </w:tcPr>
          <w:p w14:paraId="2AD840D4"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2,732</w:t>
            </w:r>
          </w:p>
        </w:tc>
        <w:tc>
          <w:tcPr>
            <w:tcW w:w="1536" w:type="dxa"/>
            <w:shd w:val="clear" w:color="auto" w:fill="FFFFFF"/>
            <w:tcMar>
              <w:top w:w="0" w:type="dxa"/>
              <w:left w:w="0" w:type="dxa"/>
              <w:bottom w:w="0" w:type="dxa"/>
              <w:right w:w="0" w:type="dxa"/>
            </w:tcMar>
            <w:vAlign w:val="center"/>
          </w:tcPr>
          <w:p w14:paraId="453BCB00"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2.3</w:t>
            </w:r>
          </w:p>
        </w:tc>
      </w:tr>
      <w:tr w:rsidR="00EC4E90" w:rsidRPr="00B2525C" w14:paraId="0F70D7B2" w14:textId="77777777" w:rsidTr="00ED3EC3">
        <w:trPr>
          <w:cantSplit/>
          <w:jc w:val="center"/>
        </w:trPr>
        <w:tc>
          <w:tcPr>
            <w:tcW w:w="3016" w:type="dxa"/>
            <w:shd w:val="clear" w:color="auto" w:fill="FFFFFF"/>
            <w:tcMar>
              <w:top w:w="0" w:type="dxa"/>
              <w:left w:w="0" w:type="dxa"/>
              <w:bottom w:w="0" w:type="dxa"/>
              <w:right w:w="0" w:type="dxa"/>
            </w:tcMar>
            <w:vAlign w:val="center"/>
          </w:tcPr>
          <w:p w14:paraId="4ADF98CC" w14:textId="77777777" w:rsidR="00EC4E90" w:rsidRPr="00ED3EC3" w:rsidRDefault="00B01D14" w:rsidP="00ED3EC3">
            <w:pPr>
              <w:spacing w:before="40" w:after="40" w:line="276" w:lineRule="auto"/>
              <w:ind w:left="100" w:right="100"/>
              <w:rPr>
                <w:rFonts w:cs="Arial"/>
              </w:rPr>
            </w:pPr>
            <w:r w:rsidRPr="00ED3EC3">
              <w:rPr>
                <w:rFonts w:eastAsia="Arial" w:cs="Arial"/>
                <w:color w:val="111111"/>
              </w:rPr>
              <w:t>Mandarin</w:t>
            </w:r>
          </w:p>
        </w:tc>
        <w:tc>
          <w:tcPr>
            <w:tcW w:w="1389" w:type="dxa"/>
            <w:shd w:val="clear" w:color="auto" w:fill="FFFFFF"/>
            <w:tcMar>
              <w:top w:w="0" w:type="dxa"/>
              <w:left w:w="0" w:type="dxa"/>
              <w:bottom w:w="0" w:type="dxa"/>
              <w:right w:w="0" w:type="dxa"/>
            </w:tcMar>
            <w:vAlign w:val="center"/>
          </w:tcPr>
          <w:p w14:paraId="7EF5A824"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2,078</w:t>
            </w:r>
          </w:p>
        </w:tc>
        <w:tc>
          <w:tcPr>
            <w:tcW w:w="1536" w:type="dxa"/>
            <w:shd w:val="clear" w:color="auto" w:fill="FFFFFF"/>
            <w:tcMar>
              <w:top w:w="0" w:type="dxa"/>
              <w:left w:w="0" w:type="dxa"/>
              <w:bottom w:w="0" w:type="dxa"/>
              <w:right w:w="0" w:type="dxa"/>
            </w:tcMar>
            <w:vAlign w:val="center"/>
          </w:tcPr>
          <w:p w14:paraId="31406BB5"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1.8</w:t>
            </w:r>
          </w:p>
        </w:tc>
      </w:tr>
      <w:tr w:rsidR="00EC4E90" w:rsidRPr="00B2525C" w14:paraId="7213123B" w14:textId="77777777" w:rsidTr="00ED3EC3">
        <w:trPr>
          <w:cantSplit/>
          <w:jc w:val="center"/>
        </w:trPr>
        <w:tc>
          <w:tcPr>
            <w:tcW w:w="3016" w:type="dxa"/>
            <w:shd w:val="clear" w:color="auto" w:fill="FFFFFF"/>
            <w:tcMar>
              <w:top w:w="0" w:type="dxa"/>
              <w:left w:w="0" w:type="dxa"/>
              <w:bottom w:w="0" w:type="dxa"/>
              <w:right w:w="0" w:type="dxa"/>
            </w:tcMar>
            <w:vAlign w:val="center"/>
          </w:tcPr>
          <w:p w14:paraId="770F9271" w14:textId="77777777" w:rsidR="00EC4E90" w:rsidRPr="00ED3EC3" w:rsidRDefault="00B01D14" w:rsidP="00ED3EC3">
            <w:pPr>
              <w:spacing w:before="40" w:after="40" w:line="276" w:lineRule="auto"/>
              <w:ind w:left="100" w:right="100"/>
              <w:rPr>
                <w:rFonts w:cs="Arial"/>
              </w:rPr>
            </w:pPr>
            <w:r w:rsidRPr="00ED3EC3">
              <w:rPr>
                <w:rFonts w:eastAsia="Arial" w:cs="Arial"/>
                <w:color w:val="111111"/>
              </w:rPr>
              <w:t>Cantonese</w:t>
            </w:r>
          </w:p>
        </w:tc>
        <w:tc>
          <w:tcPr>
            <w:tcW w:w="1389" w:type="dxa"/>
            <w:shd w:val="clear" w:color="auto" w:fill="FFFFFF"/>
            <w:tcMar>
              <w:top w:w="0" w:type="dxa"/>
              <w:left w:w="0" w:type="dxa"/>
              <w:bottom w:w="0" w:type="dxa"/>
              <w:right w:w="0" w:type="dxa"/>
            </w:tcMar>
            <w:vAlign w:val="center"/>
          </w:tcPr>
          <w:p w14:paraId="2B71DD88"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1,819</w:t>
            </w:r>
          </w:p>
        </w:tc>
        <w:tc>
          <w:tcPr>
            <w:tcW w:w="1536" w:type="dxa"/>
            <w:shd w:val="clear" w:color="auto" w:fill="FFFFFF"/>
            <w:tcMar>
              <w:top w:w="0" w:type="dxa"/>
              <w:left w:w="0" w:type="dxa"/>
              <w:bottom w:w="0" w:type="dxa"/>
              <w:right w:w="0" w:type="dxa"/>
            </w:tcMar>
            <w:vAlign w:val="center"/>
          </w:tcPr>
          <w:p w14:paraId="4A4C7436"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1.6</w:t>
            </w:r>
          </w:p>
        </w:tc>
      </w:tr>
      <w:tr w:rsidR="00EC4E90" w:rsidRPr="00B2525C" w14:paraId="21ED233E" w14:textId="77777777" w:rsidTr="00ED3EC3">
        <w:trPr>
          <w:cantSplit/>
          <w:jc w:val="center"/>
        </w:trPr>
        <w:tc>
          <w:tcPr>
            <w:tcW w:w="3016" w:type="dxa"/>
            <w:tcBorders>
              <w:bottom w:val="single" w:sz="4" w:space="0" w:color="auto"/>
            </w:tcBorders>
            <w:shd w:val="clear" w:color="auto" w:fill="FFFFFF"/>
            <w:tcMar>
              <w:top w:w="0" w:type="dxa"/>
              <w:left w:w="0" w:type="dxa"/>
              <w:bottom w:w="0" w:type="dxa"/>
              <w:right w:w="0" w:type="dxa"/>
            </w:tcMar>
            <w:vAlign w:val="center"/>
          </w:tcPr>
          <w:p w14:paraId="60AF60BC" w14:textId="77777777" w:rsidR="00EC4E90" w:rsidRPr="00ED3EC3" w:rsidRDefault="00B01D14" w:rsidP="00ED3EC3">
            <w:pPr>
              <w:spacing w:before="40" w:after="40" w:line="276" w:lineRule="auto"/>
              <w:ind w:left="100" w:right="100"/>
              <w:rPr>
                <w:rFonts w:cs="Arial"/>
              </w:rPr>
            </w:pPr>
            <w:r w:rsidRPr="00ED3EC3">
              <w:rPr>
                <w:rFonts w:eastAsia="Arial" w:cs="Arial"/>
                <w:color w:val="111111"/>
              </w:rPr>
              <w:t>Arabic</w:t>
            </w:r>
          </w:p>
        </w:tc>
        <w:tc>
          <w:tcPr>
            <w:tcW w:w="1389" w:type="dxa"/>
            <w:tcBorders>
              <w:bottom w:val="single" w:sz="4" w:space="0" w:color="auto"/>
            </w:tcBorders>
            <w:shd w:val="clear" w:color="auto" w:fill="FFFFFF"/>
            <w:tcMar>
              <w:top w:w="0" w:type="dxa"/>
              <w:left w:w="0" w:type="dxa"/>
              <w:bottom w:w="0" w:type="dxa"/>
              <w:right w:w="0" w:type="dxa"/>
            </w:tcMar>
            <w:vAlign w:val="center"/>
          </w:tcPr>
          <w:p w14:paraId="431EFD83"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1,723</w:t>
            </w:r>
          </w:p>
        </w:tc>
        <w:tc>
          <w:tcPr>
            <w:tcW w:w="1536" w:type="dxa"/>
            <w:tcBorders>
              <w:bottom w:val="single" w:sz="4" w:space="0" w:color="auto"/>
            </w:tcBorders>
            <w:shd w:val="clear" w:color="auto" w:fill="FFFFFF"/>
            <w:tcMar>
              <w:top w:w="0" w:type="dxa"/>
              <w:left w:w="0" w:type="dxa"/>
              <w:bottom w:w="0" w:type="dxa"/>
              <w:right w:w="0" w:type="dxa"/>
            </w:tcMar>
            <w:vAlign w:val="center"/>
          </w:tcPr>
          <w:p w14:paraId="16F0760A" w14:textId="77777777" w:rsidR="00EC4E90" w:rsidRPr="00ED3EC3" w:rsidRDefault="00B01D14" w:rsidP="00ED3EC3">
            <w:pPr>
              <w:spacing w:before="40" w:after="40" w:line="276" w:lineRule="auto"/>
              <w:ind w:left="100" w:right="100"/>
              <w:jc w:val="right"/>
              <w:rPr>
                <w:rFonts w:cs="Arial"/>
              </w:rPr>
            </w:pPr>
            <w:r w:rsidRPr="00ED3EC3">
              <w:rPr>
                <w:rFonts w:eastAsia="Arial" w:cs="Arial"/>
                <w:color w:val="111111"/>
              </w:rPr>
              <w:t>1.5</w:t>
            </w:r>
          </w:p>
        </w:tc>
      </w:tr>
      <w:tr w:rsidR="00EC4E90" w:rsidRPr="00B2525C" w14:paraId="0D0CC167" w14:textId="77777777" w:rsidTr="00ED3EC3">
        <w:trPr>
          <w:cantSplit/>
          <w:jc w:val="center"/>
        </w:trPr>
        <w:tc>
          <w:tcPr>
            <w:tcW w:w="5941" w:type="dxa"/>
            <w:gridSpan w:val="3"/>
            <w:tcBorders>
              <w:top w:val="single" w:sz="4" w:space="0" w:color="auto"/>
            </w:tcBorders>
            <w:shd w:val="clear" w:color="auto" w:fill="FFFFFF"/>
            <w:tcMar>
              <w:top w:w="0" w:type="dxa"/>
              <w:left w:w="0" w:type="dxa"/>
              <w:bottom w:w="0" w:type="dxa"/>
              <w:right w:w="0" w:type="dxa"/>
            </w:tcMar>
            <w:vAlign w:val="center"/>
          </w:tcPr>
          <w:p w14:paraId="216DD18D" w14:textId="77777777" w:rsidR="00EC4E90" w:rsidRPr="00B2525C" w:rsidRDefault="00B01D14" w:rsidP="00ED3EC3">
            <w:pPr>
              <w:pStyle w:val="Caption"/>
              <w:spacing w:line="276" w:lineRule="auto"/>
              <w:rPr>
                <w:rFonts w:cs="Arial"/>
              </w:rPr>
            </w:pPr>
            <w:r w:rsidRPr="00B2525C">
              <w:rPr>
                <w:rFonts w:cs="Arial"/>
              </w:rPr>
              <w:t>Source</w:t>
            </w:r>
            <w:r w:rsidR="00B62AAE" w:rsidRPr="00B2525C">
              <w:rPr>
                <w:rFonts w:cs="Arial"/>
              </w:rPr>
              <w:t>:</w:t>
            </w:r>
            <w:r w:rsidRPr="00B2525C">
              <w:rPr>
                <w:rFonts w:cs="Arial"/>
              </w:rPr>
              <w:t xml:space="preserve"> ABS, Census 2016</w:t>
            </w:r>
          </w:p>
        </w:tc>
      </w:tr>
    </w:tbl>
    <w:p w14:paraId="0C189B4A" w14:textId="608BCAE8" w:rsidR="002D0481" w:rsidRPr="00B2525C" w:rsidRDefault="00D62FD1">
      <w:pPr>
        <w:rPr>
          <w:rFonts w:cs="Arial"/>
        </w:rPr>
      </w:pPr>
      <w:r>
        <w:rPr>
          <w:rFonts w:cs="Arial"/>
        </w:rPr>
        <w:lastRenderedPageBreak/>
        <w:t xml:space="preserve">Figure </w:t>
      </w:r>
      <w:proofErr w:type="gramStart"/>
      <w:r w:rsidR="0003084E">
        <w:rPr>
          <w:rFonts w:cs="Arial"/>
        </w:rPr>
        <w:t xml:space="preserve">16 </w:t>
      </w:r>
      <w:r w:rsidR="002D0481" w:rsidRPr="00B2525C">
        <w:rPr>
          <w:rFonts w:cs="Arial"/>
        </w:rPr>
        <w:t xml:space="preserve"> below</w:t>
      </w:r>
      <w:proofErr w:type="gramEnd"/>
      <w:r w:rsidR="002D0481" w:rsidRPr="00B2525C">
        <w:rPr>
          <w:rFonts w:cs="Arial"/>
        </w:rPr>
        <w:t xml:space="preserve"> shows that Italian and Greek are more likely to be spoken in the northern areas of the municipality, whereas Cantonese and Arabic are more likely to be spoken in the </w:t>
      </w:r>
      <w:r w:rsidR="006B3E03" w:rsidRPr="00B2525C">
        <w:rPr>
          <w:rFonts w:cs="Arial"/>
        </w:rPr>
        <w:t>s</w:t>
      </w:r>
      <w:r w:rsidR="002D0481" w:rsidRPr="00B2525C">
        <w:rPr>
          <w:rFonts w:cs="Arial"/>
        </w:rPr>
        <w:t xml:space="preserve">outh </w:t>
      </w:r>
      <w:r w:rsidR="006B3E03" w:rsidRPr="00B2525C">
        <w:rPr>
          <w:rFonts w:cs="Arial"/>
        </w:rPr>
        <w:t>e</w:t>
      </w:r>
      <w:r w:rsidR="002D0481" w:rsidRPr="00B2525C">
        <w:rPr>
          <w:rFonts w:cs="Arial"/>
        </w:rPr>
        <w:t>ast</w:t>
      </w:r>
      <w:r w:rsidR="006B3E03" w:rsidRPr="00B2525C">
        <w:rPr>
          <w:rFonts w:cs="Arial"/>
        </w:rPr>
        <w:t>.</w:t>
      </w:r>
    </w:p>
    <w:p w14:paraId="497BB018" w14:textId="77777777" w:rsidR="00BF661D" w:rsidRPr="00B2525C" w:rsidRDefault="00BF661D">
      <w:pPr>
        <w:rPr>
          <w:rFonts w:cs="Arial"/>
        </w:rPr>
      </w:pPr>
    </w:p>
    <w:p w14:paraId="353B1A1F" w14:textId="32A0FEBE" w:rsidR="00A41E25" w:rsidRPr="0039503D" w:rsidRDefault="000052A8" w:rsidP="0039503D">
      <w:pPr>
        <w:pStyle w:val="Caption"/>
        <w:rPr>
          <w:i w:val="0"/>
          <w:color w:val="auto"/>
          <w:sz w:val="22"/>
          <w:szCs w:val="22"/>
        </w:rPr>
      </w:pPr>
      <w:r w:rsidRPr="0039503D">
        <w:rPr>
          <w:rFonts w:cs="Arial"/>
          <w:b/>
          <w:i w:val="0"/>
          <w:color w:val="auto"/>
          <w:sz w:val="22"/>
          <w:szCs w:val="22"/>
        </w:rPr>
        <w:t>Figure</w:t>
      </w:r>
      <w:r w:rsidR="0039503D" w:rsidRPr="0039503D">
        <w:rPr>
          <w:rFonts w:cs="Arial"/>
          <w:b/>
          <w:i w:val="0"/>
          <w:color w:val="auto"/>
          <w:sz w:val="22"/>
          <w:szCs w:val="22"/>
        </w:rPr>
        <w:t xml:space="preserve"> 16</w:t>
      </w:r>
      <w:r w:rsidR="0039503D">
        <w:rPr>
          <w:rFonts w:cs="Arial"/>
          <w:i w:val="0"/>
          <w:color w:val="auto"/>
          <w:sz w:val="22"/>
          <w:szCs w:val="22"/>
        </w:rPr>
        <w:t xml:space="preserve">. </w:t>
      </w:r>
      <w:r w:rsidR="00A41E25" w:rsidRPr="0039503D">
        <w:rPr>
          <w:i w:val="0"/>
          <w:color w:val="auto"/>
          <w:sz w:val="22"/>
          <w:szCs w:val="22"/>
        </w:rPr>
        <w:t>Top languages spoken other than English based on ABS Statistical Area Level 1 (SA1) 2016</w:t>
      </w:r>
    </w:p>
    <w:p w14:paraId="291F621C" w14:textId="3A0A866A" w:rsidR="002D0481" w:rsidRPr="00ED3EC3" w:rsidRDefault="002D0481" w:rsidP="00BE2883">
      <w:pPr>
        <w:rPr>
          <w:rFonts w:cs="Arial"/>
        </w:rPr>
      </w:pPr>
    </w:p>
    <w:p w14:paraId="34039A66" w14:textId="40D3688D" w:rsidR="002D0481" w:rsidRPr="00B2525C" w:rsidRDefault="00A41E25">
      <w:pPr>
        <w:rPr>
          <w:rFonts w:cs="Arial"/>
        </w:rPr>
      </w:pPr>
      <w:r>
        <w:rPr>
          <w:noProof/>
        </w:rPr>
        <w:drawing>
          <wp:inline distT="0" distB="0" distL="0" distR="0" wp14:anchorId="48E9E6C4" wp14:editId="5046BAFA">
            <wp:extent cx="5731510" cy="573151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7 Languages.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94706D0" w14:textId="77777777" w:rsidR="00BF661D" w:rsidRPr="00B2525C" w:rsidRDefault="00BF661D">
      <w:pPr>
        <w:rPr>
          <w:rFonts w:cs="Arial"/>
        </w:rPr>
      </w:pPr>
      <w:r w:rsidRPr="00B2525C">
        <w:rPr>
          <w:rFonts w:cs="Arial"/>
        </w:rPr>
        <w:br w:type="page"/>
      </w:r>
    </w:p>
    <w:p w14:paraId="04DCFF2E" w14:textId="60665539" w:rsidR="00EC4E90" w:rsidRDefault="00B01D14">
      <w:pPr>
        <w:rPr>
          <w:rFonts w:cs="Arial"/>
        </w:rPr>
      </w:pPr>
      <w:r w:rsidRPr="00B2525C">
        <w:rPr>
          <w:rFonts w:cs="Arial"/>
        </w:rPr>
        <w:lastRenderedPageBreak/>
        <w:t>Census data shows that for Moonee Valley residents, those who spoke Hindi, Maltese, and Turkish were the most likely to also speak English ‘</w:t>
      </w:r>
      <w:r w:rsidR="00580686">
        <w:rPr>
          <w:rFonts w:cs="Arial"/>
        </w:rPr>
        <w:t>v</w:t>
      </w:r>
      <w:r w:rsidRPr="00B2525C">
        <w:rPr>
          <w:rFonts w:cs="Arial"/>
        </w:rPr>
        <w:t>ery well’</w:t>
      </w:r>
      <w:r w:rsidR="00C56366" w:rsidRPr="00B2525C">
        <w:rPr>
          <w:rFonts w:cs="Arial"/>
        </w:rPr>
        <w:t xml:space="preserve">. People who spoke Cantonese and Vietnamese had the highest proportion of people who reported speaking English </w:t>
      </w:r>
      <w:r w:rsidR="00BF661D" w:rsidRPr="00B2525C">
        <w:rPr>
          <w:rFonts w:cs="Arial"/>
        </w:rPr>
        <w:t>‘</w:t>
      </w:r>
      <w:r w:rsidR="00C56366" w:rsidRPr="00B2525C">
        <w:rPr>
          <w:rFonts w:cs="Arial"/>
        </w:rPr>
        <w:t>not wel</w:t>
      </w:r>
      <w:r w:rsidR="00BF661D" w:rsidRPr="00B2525C">
        <w:rPr>
          <w:rFonts w:cs="Arial"/>
        </w:rPr>
        <w:t>l’</w:t>
      </w:r>
      <w:r w:rsidR="00C56366" w:rsidRPr="00B2525C">
        <w:rPr>
          <w:rFonts w:cs="Arial"/>
        </w:rPr>
        <w:t xml:space="preserve"> and </w:t>
      </w:r>
      <w:r w:rsidR="00BF661D" w:rsidRPr="00B2525C">
        <w:rPr>
          <w:rFonts w:cs="Arial"/>
        </w:rPr>
        <w:t>‘</w:t>
      </w:r>
      <w:r w:rsidR="00C56366" w:rsidRPr="00B2525C">
        <w:rPr>
          <w:rFonts w:cs="Arial"/>
        </w:rPr>
        <w:t>not at all</w:t>
      </w:r>
      <w:r w:rsidR="00BF661D" w:rsidRPr="00B2525C">
        <w:rPr>
          <w:rFonts w:cs="Arial"/>
        </w:rPr>
        <w:t>’</w:t>
      </w:r>
      <w:r w:rsidR="00C56366" w:rsidRPr="00B2525C">
        <w:rPr>
          <w:rFonts w:cs="Arial"/>
        </w:rPr>
        <w:t>.</w:t>
      </w:r>
    </w:p>
    <w:p w14:paraId="2D36423B" w14:textId="77777777" w:rsidR="00DB61AA" w:rsidRDefault="00DB61AA">
      <w:pPr>
        <w:rPr>
          <w:rFonts w:cs="Arial"/>
        </w:rPr>
      </w:pPr>
    </w:p>
    <w:p w14:paraId="1597A5F5" w14:textId="735EE540" w:rsidR="00DB61AA" w:rsidRPr="00DB61AA" w:rsidRDefault="00DB61AA" w:rsidP="00DB61AA">
      <w:pPr>
        <w:rPr>
          <w:rFonts w:cs="Arial"/>
        </w:rPr>
      </w:pPr>
      <w:r w:rsidRPr="00ED3EC3">
        <w:rPr>
          <w:rFonts w:cs="Arial"/>
          <w:b/>
        </w:rPr>
        <w:t>Table</w:t>
      </w:r>
      <w:r w:rsidR="0039503D" w:rsidRPr="0039503D">
        <w:rPr>
          <w:rFonts w:cs="Arial"/>
          <w:b/>
        </w:rPr>
        <w:t xml:space="preserve"> 6.</w:t>
      </w:r>
      <w:r>
        <w:rPr>
          <w:rFonts w:cs="Arial"/>
        </w:rPr>
        <w:t xml:space="preserve"> </w:t>
      </w:r>
      <w:r w:rsidRPr="00DB61AA">
        <w:rPr>
          <w:rFonts w:cs="Arial"/>
        </w:rPr>
        <w:t>Self-assessed English proficiency in Moonee Valley</w:t>
      </w:r>
      <w:r w:rsidR="00ED3EC3">
        <w:rPr>
          <w:rFonts w:cs="Arial"/>
        </w:rPr>
        <w:t xml:space="preserve"> </w:t>
      </w:r>
      <w:r w:rsidRPr="00DB61AA">
        <w:rPr>
          <w:rFonts w:cs="Arial"/>
        </w:rPr>
        <w:t>By language spoken at home (top 12 languages other than English)</w:t>
      </w:r>
    </w:p>
    <w:p w14:paraId="75C65748" w14:textId="77777777" w:rsidR="00DB61AA" w:rsidRPr="00B2525C" w:rsidRDefault="00DB61AA">
      <w:pPr>
        <w:rPr>
          <w:rFonts w:cs="Arial"/>
        </w:rPr>
      </w:pPr>
    </w:p>
    <w:p w14:paraId="550F5699" w14:textId="77777777" w:rsidR="00EC4E90" w:rsidRPr="00B2525C" w:rsidRDefault="00EF2147" w:rsidP="008E6E1A">
      <w:pPr>
        <w:pStyle w:val="NoSpacing"/>
        <w:rPr>
          <w:rFonts w:ascii="Arial" w:hAnsi="Arial" w:cs="Arial"/>
        </w:rPr>
      </w:pPr>
      <w:r w:rsidRPr="00B2525C">
        <w:rPr>
          <w:rFonts w:ascii="Arial" w:hAnsi="Arial" w:cs="Arial"/>
          <w:noProof/>
        </w:rPr>
        <w:drawing>
          <wp:inline distT="0" distB="0" distL="0" distR="0" wp14:anchorId="75D35B7C" wp14:editId="4869A081">
            <wp:extent cx="5585988" cy="4508626"/>
            <wp:effectExtent l="0" t="0" r="0" b="6350"/>
            <wp:docPr id="82" name="Chart 82">
              <a:extLst xmlns:a="http://schemas.openxmlformats.org/drawingml/2006/main">
                <a:ext uri="{FF2B5EF4-FFF2-40B4-BE49-F238E27FC236}">
                  <a16:creationId xmlns:a16="http://schemas.microsoft.com/office/drawing/2014/main" id="{E1EE86D6-D2A1-4937-875E-0823D1AB1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7A05B8" w14:textId="77777777" w:rsidR="008E6E1A" w:rsidRPr="00B2525C" w:rsidRDefault="008E6E1A" w:rsidP="008E6E1A">
      <w:pPr>
        <w:pStyle w:val="Caption"/>
        <w:rPr>
          <w:rFonts w:cs="Arial"/>
        </w:rPr>
      </w:pPr>
      <w:r w:rsidRPr="00B2525C">
        <w:rPr>
          <w:rFonts w:cs="Arial"/>
        </w:rPr>
        <w:t>Source: ABS, Census 2016</w:t>
      </w:r>
    </w:p>
    <w:p w14:paraId="0C3A5164" w14:textId="77777777" w:rsidR="006F6890" w:rsidRPr="00B2525C" w:rsidRDefault="006F6890" w:rsidP="00C9559F">
      <w:pPr>
        <w:rPr>
          <w:rFonts w:cs="Arial"/>
          <w:highlight w:val="yellow"/>
        </w:rPr>
      </w:pPr>
      <w:bookmarkStart w:id="24" w:name="education"/>
    </w:p>
    <w:p w14:paraId="3451323C" w14:textId="77777777" w:rsidR="00ED3EC3" w:rsidRDefault="00ED3EC3" w:rsidP="00C56366">
      <w:pPr>
        <w:pStyle w:val="Heading3"/>
        <w:rPr>
          <w:rFonts w:cs="Arial"/>
        </w:rPr>
      </w:pPr>
      <w:r>
        <w:rPr>
          <w:rFonts w:cs="Arial"/>
        </w:rPr>
        <w:br w:type="page"/>
      </w:r>
    </w:p>
    <w:p w14:paraId="2A00F786" w14:textId="63324774" w:rsidR="00C56366" w:rsidRDefault="00C56366" w:rsidP="00C56366">
      <w:pPr>
        <w:pStyle w:val="Heading3"/>
        <w:rPr>
          <w:rFonts w:cs="Arial"/>
        </w:rPr>
      </w:pPr>
      <w:r w:rsidRPr="00B2525C">
        <w:rPr>
          <w:rFonts w:cs="Arial"/>
        </w:rPr>
        <w:lastRenderedPageBreak/>
        <w:t xml:space="preserve">Refugees </w:t>
      </w:r>
      <w:r w:rsidR="00D62FD1">
        <w:rPr>
          <w:rFonts w:cs="Arial"/>
        </w:rPr>
        <w:t>and</w:t>
      </w:r>
      <w:r w:rsidRPr="00B2525C">
        <w:rPr>
          <w:rFonts w:cs="Arial"/>
        </w:rPr>
        <w:t xml:space="preserve"> </w:t>
      </w:r>
      <w:r w:rsidR="002A53F6" w:rsidRPr="00B2525C">
        <w:rPr>
          <w:rFonts w:cs="Arial"/>
        </w:rPr>
        <w:t>a</w:t>
      </w:r>
      <w:r w:rsidRPr="00B2525C">
        <w:rPr>
          <w:rFonts w:cs="Arial"/>
        </w:rPr>
        <w:t xml:space="preserve">sylum </w:t>
      </w:r>
      <w:r w:rsidR="002A53F6" w:rsidRPr="00B2525C">
        <w:rPr>
          <w:rFonts w:cs="Arial"/>
        </w:rPr>
        <w:t>s</w:t>
      </w:r>
      <w:r w:rsidRPr="00B2525C">
        <w:rPr>
          <w:rFonts w:cs="Arial"/>
        </w:rPr>
        <w:t>eekers</w:t>
      </w:r>
    </w:p>
    <w:p w14:paraId="02248D5A" w14:textId="0C8EFA86" w:rsidR="006F6890" w:rsidRPr="00B2525C" w:rsidRDefault="006F6890" w:rsidP="00364B32">
      <w:pPr>
        <w:rPr>
          <w:rFonts w:cs="Arial"/>
          <w:sz w:val="14"/>
        </w:rPr>
      </w:pPr>
      <w:r w:rsidRPr="00B2525C">
        <w:rPr>
          <w:rFonts w:cs="Arial"/>
        </w:rPr>
        <w:t xml:space="preserve">Most refugees and asylum seekers arrive in Australia having experienced poverty, torture and trauma </w:t>
      </w:r>
      <w:r w:rsidR="00364B32" w:rsidRPr="00B2525C">
        <w:rPr>
          <w:rFonts w:cs="Arial"/>
        </w:rPr>
        <w:t>(Camacho, 1999)</w:t>
      </w:r>
      <w:r w:rsidRPr="00B2525C">
        <w:rPr>
          <w:rFonts w:cs="Arial"/>
        </w:rPr>
        <w:t>.</w:t>
      </w:r>
      <w:r w:rsidR="00681D11" w:rsidRPr="00B2525C">
        <w:rPr>
          <w:rFonts w:cs="Arial"/>
          <w:position w:val="8"/>
          <w:sz w:val="14"/>
        </w:rPr>
        <w:t xml:space="preserve"> </w:t>
      </w:r>
      <w:r w:rsidRPr="00B2525C">
        <w:rPr>
          <w:rFonts w:cs="Arial"/>
        </w:rPr>
        <w:t>They may have spent long periods of time in refugee camps and be unfamiliar with urban environments and the way of life in Australia</w:t>
      </w:r>
      <w:r w:rsidR="00681D11" w:rsidRPr="00B2525C">
        <w:rPr>
          <w:rFonts w:cs="Arial"/>
        </w:rPr>
        <w:t xml:space="preserve"> (Federation of Ethnic Communities’ Councils of Australia, 2015)</w:t>
      </w:r>
      <w:r w:rsidRPr="00B2525C">
        <w:rPr>
          <w:rFonts w:cs="Arial"/>
        </w:rPr>
        <w:t>.</w:t>
      </w:r>
      <w:r w:rsidRPr="00B2525C">
        <w:rPr>
          <w:rFonts w:cs="Arial"/>
          <w:position w:val="8"/>
          <w:sz w:val="14"/>
        </w:rPr>
        <w:t xml:space="preserve"> </w:t>
      </w:r>
      <w:r w:rsidRPr="00B2525C">
        <w:rPr>
          <w:rFonts w:cs="Arial"/>
        </w:rPr>
        <w:t>Migrants and refugees face several social, economic and cultural issues</w:t>
      </w:r>
      <w:r w:rsidR="00D62FD1">
        <w:rPr>
          <w:rFonts w:cs="Arial"/>
        </w:rPr>
        <w:t>,</w:t>
      </w:r>
      <w:r w:rsidRPr="00B2525C">
        <w:rPr>
          <w:rFonts w:cs="Arial"/>
        </w:rPr>
        <w:t xml:space="preserve"> including language barriers, compromised mental health and wellbeing, lack of work experience and recognised qualifications, racism and discrimination, underemployment</w:t>
      </w:r>
      <w:r w:rsidR="00BF661D" w:rsidRPr="00B2525C">
        <w:rPr>
          <w:rFonts w:cs="Arial"/>
        </w:rPr>
        <w:t>,</w:t>
      </w:r>
      <w:r w:rsidRPr="00B2525C">
        <w:rPr>
          <w:rFonts w:cs="Arial"/>
        </w:rPr>
        <w:t xml:space="preserve"> and difficulties accessing health and support services. </w:t>
      </w:r>
    </w:p>
    <w:p w14:paraId="4F4F559D" w14:textId="77777777" w:rsidR="00B753BC" w:rsidRPr="00B2525C" w:rsidRDefault="00B753BC" w:rsidP="00C56366">
      <w:pPr>
        <w:rPr>
          <w:rFonts w:cs="Arial"/>
          <w:highlight w:val="yellow"/>
        </w:rPr>
      </w:pPr>
    </w:p>
    <w:p w14:paraId="3194506A" w14:textId="77777777" w:rsidR="00B753BC" w:rsidRDefault="00B753BC" w:rsidP="00CB68C8">
      <w:pPr>
        <w:rPr>
          <w:rFonts w:cs="Arial"/>
        </w:rPr>
      </w:pPr>
      <w:r w:rsidRPr="00B2525C">
        <w:rPr>
          <w:rFonts w:cs="Arial"/>
        </w:rPr>
        <w:t>In 2018 there were</w:t>
      </w:r>
      <w:r w:rsidR="0029000B" w:rsidRPr="00B2525C">
        <w:rPr>
          <w:rFonts w:cs="Arial"/>
        </w:rPr>
        <w:t xml:space="preserve"> </w:t>
      </w:r>
      <w:r w:rsidRPr="00B2525C">
        <w:rPr>
          <w:rFonts w:cs="Arial"/>
        </w:rPr>
        <w:t xml:space="preserve">1,439 new arrivals </w:t>
      </w:r>
      <w:r w:rsidR="00C56366" w:rsidRPr="00B2525C">
        <w:rPr>
          <w:rFonts w:cs="Arial"/>
        </w:rPr>
        <w:t xml:space="preserve">from overseas settling </w:t>
      </w:r>
      <w:r w:rsidRPr="00B2525C">
        <w:rPr>
          <w:rFonts w:cs="Arial"/>
        </w:rPr>
        <w:t xml:space="preserve">in the City of Moonee Valley, </w:t>
      </w:r>
      <w:proofErr w:type="gramStart"/>
      <w:r w:rsidRPr="00B2525C">
        <w:rPr>
          <w:rFonts w:cs="Arial"/>
        </w:rPr>
        <w:t>21  of</w:t>
      </w:r>
      <w:proofErr w:type="gramEnd"/>
      <w:r w:rsidRPr="00B2525C">
        <w:rPr>
          <w:rFonts w:cs="Arial"/>
        </w:rPr>
        <w:t xml:space="preserve"> whom were humanitarian</w:t>
      </w:r>
      <w:r w:rsidR="00794F23">
        <w:rPr>
          <w:rFonts w:cs="Arial"/>
        </w:rPr>
        <w:t xml:space="preserve"> </w:t>
      </w:r>
      <w:r w:rsidR="00794F23" w:rsidRPr="00B2525C">
        <w:rPr>
          <w:rFonts w:cs="Arial"/>
        </w:rPr>
        <w:t>(2.2 per cent)</w:t>
      </w:r>
      <w:r w:rsidRPr="00B2525C">
        <w:rPr>
          <w:rFonts w:cs="Arial"/>
        </w:rPr>
        <w:t>, 540 of whom were in the family stream</w:t>
      </w:r>
      <w:r w:rsidR="00794F23">
        <w:rPr>
          <w:rFonts w:cs="Arial"/>
        </w:rPr>
        <w:t xml:space="preserve"> </w:t>
      </w:r>
      <w:r w:rsidR="00794F23" w:rsidRPr="00B2525C">
        <w:rPr>
          <w:rFonts w:cs="Arial"/>
        </w:rPr>
        <w:t>(37.5 per cent)</w:t>
      </w:r>
      <w:r w:rsidRPr="00B2525C">
        <w:rPr>
          <w:rFonts w:cs="Arial"/>
        </w:rPr>
        <w:t xml:space="preserve"> and 868 of whom were in the skilled stream</w:t>
      </w:r>
      <w:r w:rsidR="00794F23" w:rsidRPr="00B2525C">
        <w:rPr>
          <w:rFonts w:cs="Arial"/>
        </w:rPr>
        <w:t xml:space="preserve">(60.3 per cent) </w:t>
      </w:r>
      <w:r w:rsidR="00681D11" w:rsidRPr="00B2525C">
        <w:rPr>
          <w:rFonts w:cs="Arial"/>
        </w:rPr>
        <w:t xml:space="preserve"> (</w:t>
      </w:r>
      <w:proofErr w:type="spellStart"/>
      <w:r w:rsidR="00681D11" w:rsidRPr="00B2525C">
        <w:rPr>
          <w:rFonts w:cs="Arial"/>
        </w:rPr>
        <w:t>DoHA</w:t>
      </w:r>
      <w:proofErr w:type="spellEnd"/>
      <w:r w:rsidR="00681D11" w:rsidRPr="00B2525C">
        <w:rPr>
          <w:rFonts w:cs="Arial"/>
        </w:rPr>
        <w:t>, 2019)</w:t>
      </w:r>
      <w:r w:rsidRPr="00B2525C">
        <w:rPr>
          <w:rFonts w:cs="Arial"/>
        </w:rPr>
        <w:t>.</w:t>
      </w:r>
      <w:r w:rsidR="00681D11" w:rsidRPr="00B2525C">
        <w:rPr>
          <w:rFonts w:cs="Arial"/>
        </w:rPr>
        <w:t xml:space="preserve"> </w:t>
      </w:r>
      <w:r w:rsidR="00F964DA" w:rsidRPr="00B2525C">
        <w:rPr>
          <w:rFonts w:cs="Arial"/>
        </w:rPr>
        <w:t xml:space="preserve">In Australia </w:t>
      </w:r>
      <w:r w:rsidR="00CB68C8" w:rsidRPr="00B2525C">
        <w:rPr>
          <w:rFonts w:cs="Arial"/>
        </w:rPr>
        <w:t xml:space="preserve">in 2018, </w:t>
      </w:r>
      <w:r w:rsidR="00F964DA" w:rsidRPr="00B2525C">
        <w:rPr>
          <w:rFonts w:cs="Arial"/>
        </w:rPr>
        <w:t xml:space="preserve">the largest increases in refugee populations were from Syria (343,850), Democratic Republic of Congo (99,500), Afghanistan (57,230), Central African Republic (45,350) and Nigeria (37,850) (Refugee Council Australia, 2020). </w:t>
      </w:r>
      <w:r w:rsidRPr="00B2525C">
        <w:rPr>
          <w:rFonts w:cs="Arial"/>
        </w:rPr>
        <w:t>The proportion of humanitarian arrivals in the City of Moonee Valley was lower than the average for Victoria (2.2 per cent and 5.2 per cent respectively).</w:t>
      </w:r>
    </w:p>
    <w:p w14:paraId="21DDBDF6" w14:textId="77777777" w:rsidR="00C918A0" w:rsidRPr="00B2525C" w:rsidRDefault="00C918A0" w:rsidP="00CB68C8">
      <w:pPr>
        <w:rPr>
          <w:rFonts w:cs="Arial"/>
        </w:rPr>
      </w:pPr>
    </w:p>
    <w:p w14:paraId="52CD5CD5" w14:textId="77777777" w:rsidR="00CB68C8" w:rsidRPr="00B2525C" w:rsidRDefault="00CB68C8" w:rsidP="00CB68C8">
      <w:pPr>
        <w:rPr>
          <w:rFonts w:cs="Arial"/>
        </w:rPr>
      </w:pPr>
      <w:r w:rsidRPr="00B2525C">
        <w:rPr>
          <w:rFonts w:cs="Arial"/>
        </w:rPr>
        <w:t>Data from June 2020 from the Australian Department of Human Affairs (</w:t>
      </w:r>
      <w:proofErr w:type="spellStart"/>
      <w:r w:rsidRPr="00B2525C">
        <w:rPr>
          <w:rFonts w:cs="Arial"/>
        </w:rPr>
        <w:t>DoHA</w:t>
      </w:r>
      <w:proofErr w:type="spellEnd"/>
      <w:r w:rsidRPr="00B2525C">
        <w:rPr>
          <w:rFonts w:cs="Arial"/>
        </w:rPr>
        <w:t xml:space="preserve">) shows that there were 100 asylum seekers living in postcode areas covered by the City of Moonee Valley. This is a decrease on the </w:t>
      </w:r>
      <w:r w:rsidR="006D1D67" w:rsidRPr="00B2525C">
        <w:rPr>
          <w:rFonts w:cs="Arial"/>
        </w:rPr>
        <w:t xml:space="preserve">number </w:t>
      </w:r>
      <w:r w:rsidRPr="00B2525C">
        <w:rPr>
          <w:rFonts w:cs="Arial"/>
        </w:rPr>
        <w:t>from June 2019 (117). The June 2020 data shows that asylum seekers were located in:</w:t>
      </w:r>
    </w:p>
    <w:p w14:paraId="2B6F48BF" w14:textId="77777777" w:rsidR="00CB68C8" w:rsidRPr="00DB61AA" w:rsidRDefault="00CB68C8" w:rsidP="00794F23">
      <w:pPr>
        <w:pStyle w:val="ListParagraph"/>
        <w:numPr>
          <w:ilvl w:val="0"/>
          <w:numId w:val="13"/>
        </w:numPr>
        <w:spacing w:line="276" w:lineRule="auto"/>
        <w:rPr>
          <w:rFonts w:ascii="Circular Std Book" w:eastAsia="Times New Roman" w:hAnsi="Circular Std Book" w:cs="Circular Std Book"/>
          <w:szCs w:val="24"/>
        </w:rPr>
      </w:pPr>
      <w:r w:rsidRPr="00DB61AA">
        <w:rPr>
          <w:rFonts w:ascii="Circular Std Book" w:eastAsia="Times New Roman" w:hAnsi="Circular Std Book" w:cs="Circular Std Book"/>
          <w:szCs w:val="24"/>
        </w:rPr>
        <w:t xml:space="preserve">34 in the </w:t>
      </w:r>
      <w:proofErr w:type="gramStart"/>
      <w:r w:rsidRPr="00DB61AA">
        <w:rPr>
          <w:rFonts w:ascii="Circular Std Book" w:eastAsia="Times New Roman" w:hAnsi="Circular Std Book" w:cs="Circular Std Book"/>
          <w:szCs w:val="24"/>
        </w:rPr>
        <w:t>3034 postcode</w:t>
      </w:r>
      <w:proofErr w:type="gramEnd"/>
      <w:r w:rsidRPr="00DB61AA">
        <w:rPr>
          <w:rFonts w:ascii="Circular Std Book" w:eastAsia="Times New Roman" w:hAnsi="Circular Std Book" w:cs="Circular Std Book"/>
          <w:szCs w:val="24"/>
        </w:rPr>
        <w:t xml:space="preserve"> area (Avondale Heights). This is the 37</w:t>
      </w:r>
      <w:r w:rsidRPr="00DB61AA">
        <w:rPr>
          <w:rFonts w:ascii="Circular Std Book" w:eastAsia="Times New Roman" w:hAnsi="Circular Std Book" w:cs="Circular Std Book"/>
          <w:szCs w:val="24"/>
          <w:vertAlign w:val="superscript"/>
        </w:rPr>
        <w:t>th</w:t>
      </w:r>
      <w:r w:rsidRPr="00DB61AA">
        <w:rPr>
          <w:rFonts w:ascii="Circular Std Book" w:eastAsia="Times New Roman" w:hAnsi="Circular Std Book" w:cs="Circular Std Book"/>
          <w:szCs w:val="24"/>
        </w:rPr>
        <w:t xml:space="preserve"> highest for postcode areas in Victoria.</w:t>
      </w:r>
    </w:p>
    <w:p w14:paraId="67469A68" w14:textId="77777777" w:rsidR="00CB68C8" w:rsidRPr="00DB61AA" w:rsidRDefault="00CB68C8" w:rsidP="00794F23">
      <w:pPr>
        <w:pStyle w:val="ListParagraph"/>
        <w:numPr>
          <w:ilvl w:val="0"/>
          <w:numId w:val="13"/>
        </w:numPr>
        <w:spacing w:line="276" w:lineRule="auto"/>
        <w:rPr>
          <w:rFonts w:ascii="Circular Std Book" w:eastAsia="Times New Roman" w:hAnsi="Circular Std Book" w:cs="Circular Std Book"/>
          <w:szCs w:val="24"/>
        </w:rPr>
      </w:pPr>
      <w:r w:rsidRPr="00DB61AA">
        <w:rPr>
          <w:rFonts w:ascii="Circular Std Book" w:eastAsia="Times New Roman" w:hAnsi="Circular Std Book" w:cs="Circular Std Book"/>
          <w:szCs w:val="24"/>
        </w:rPr>
        <w:t xml:space="preserve">15 in the </w:t>
      </w:r>
      <w:proofErr w:type="gramStart"/>
      <w:r w:rsidRPr="00DB61AA">
        <w:rPr>
          <w:rFonts w:ascii="Circular Std Book" w:eastAsia="Times New Roman" w:hAnsi="Circular Std Book" w:cs="Circular Std Book"/>
          <w:szCs w:val="24"/>
        </w:rPr>
        <w:t>3032 postcode</w:t>
      </w:r>
      <w:proofErr w:type="gramEnd"/>
      <w:r w:rsidRPr="00DB61AA">
        <w:rPr>
          <w:rFonts w:ascii="Circular Std Book" w:eastAsia="Times New Roman" w:hAnsi="Circular Std Book" w:cs="Circular Std Book"/>
          <w:szCs w:val="24"/>
        </w:rPr>
        <w:t xml:space="preserve"> area (Ascot Vale and Travancore, but also Maribyrnong) </w:t>
      </w:r>
    </w:p>
    <w:p w14:paraId="1A9E6B83" w14:textId="77777777" w:rsidR="00CB68C8" w:rsidRPr="00DB61AA" w:rsidRDefault="00CB68C8" w:rsidP="00794F23">
      <w:pPr>
        <w:pStyle w:val="ListParagraph"/>
        <w:numPr>
          <w:ilvl w:val="0"/>
          <w:numId w:val="13"/>
        </w:numPr>
        <w:spacing w:line="276" w:lineRule="auto"/>
        <w:rPr>
          <w:rFonts w:ascii="Circular Std Book" w:eastAsia="Times New Roman" w:hAnsi="Circular Std Book" w:cs="Circular Std Book"/>
          <w:szCs w:val="24"/>
        </w:rPr>
      </w:pPr>
      <w:r w:rsidRPr="00DB61AA">
        <w:rPr>
          <w:rFonts w:ascii="Circular Std Book" w:eastAsia="Times New Roman" w:hAnsi="Circular Std Book" w:cs="Circular Std Book"/>
          <w:szCs w:val="24"/>
        </w:rPr>
        <w:t xml:space="preserve">21 in the </w:t>
      </w:r>
      <w:proofErr w:type="gramStart"/>
      <w:r w:rsidRPr="00DB61AA">
        <w:rPr>
          <w:rFonts w:ascii="Circular Std Book" w:eastAsia="Times New Roman" w:hAnsi="Circular Std Book" w:cs="Circular Std Book"/>
          <w:szCs w:val="24"/>
        </w:rPr>
        <w:t>3033 postcode</w:t>
      </w:r>
      <w:proofErr w:type="gramEnd"/>
      <w:r w:rsidRPr="00DB61AA">
        <w:rPr>
          <w:rFonts w:ascii="Circular Std Book" w:eastAsia="Times New Roman" w:hAnsi="Circular Std Book" w:cs="Circular Std Book"/>
          <w:szCs w:val="24"/>
        </w:rPr>
        <w:t xml:space="preserve"> area (Keilor East – most of the residential parts are within Moonee Valley)</w:t>
      </w:r>
    </w:p>
    <w:p w14:paraId="4A8F515D" w14:textId="77777777" w:rsidR="00CB68C8" w:rsidRPr="00DB61AA" w:rsidRDefault="00CB68C8" w:rsidP="00794F23">
      <w:pPr>
        <w:pStyle w:val="ListParagraph"/>
        <w:numPr>
          <w:ilvl w:val="0"/>
          <w:numId w:val="13"/>
        </w:numPr>
        <w:spacing w:line="276" w:lineRule="auto"/>
        <w:rPr>
          <w:rFonts w:ascii="Circular Std Book" w:eastAsia="Times New Roman" w:hAnsi="Circular Std Book" w:cs="Circular Std Book"/>
          <w:szCs w:val="24"/>
        </w:rPr>
      </w:pPr>
      <w:r w:rsidRPr="00DB61AA">
        <w:rPr>
          <w:rFonts w:ascii="Circular Std Book" w:eastAsia="Times New Roman" w:hAnsi="Circular Std Book" w:cs="Circular Std Book"/>
          <w:szCs w:val="24"/>
        </w:rPr>
        <w:t xml:space="preserve">20 in the </w:t>
      </w:r>
      <w:proofErr w:type="gramStart"/>
      <w:r w:rsidRPr="00DB61AA">
        <w:rPr>
          <w:rFonts w:ascii="Circular Std Book" w:eastAsia="Times New Roman" w:hAnsi="Circular Std Book" w:cs="Circular Std Book"/>
          <w:szCs w:val="24"/>
        </w:rPr>
        <w:t>3042 postcode</w:t>
      </w:r>
      <w:proofErr w:type="gramEnd"/>
      <w:r w:rsidRPr="00DB61AA">
        <w:rPr>
          <w:rFonts w:ascii="Circular Std Book" w:eastAsia="Times New Roman" w:hAnsi="Circular Std Book" w:cs="Circular Std Book"/>
          <w:szCs w:val="24"/>
        </w:rPr>
        <w:t xml:space="preserve"> area (Airport West and Niddrie, but also Keilor Park)  </w:t>
      </w:r>
    </w:p>
    <w:p w14:paraId="77312F47" w14:textId="77777777" w:rsidR="00794F23" w:rsidRPr="00794F23" w:rsidRDefault="00CB68C8" w:rsidP="00794F23">
      <w:pPr>
        <w:pStyle w:val="ListParagraph"/>
        <w:numPr>
          <w:ilvl w:val="0"/>
          <w:numId w:val="13"/>
        </w:numPr>
        <w:spacing w:line="276" w:lineRule="auto"/>
        <w:rPr>
          <w:rFonts w:cs="Circular Std Book"/>
        </w:rPr>
      </w:pPr>
      <w:r w:rsidRPr="00DB61AA">
        <w:rPr>
          <w:rFonts w:ascii="Circular Std Book" w:eastAsia="Times New Roman" w:hAnsi="Circular Std Book" w:cs="Circular Std Book"/>
          <w:szCs w:val="24"/>
        </w:rPr>
        <w:t xml:space="preserve">10 in the </w:t>
      </w:r>
      <w:proofErr w:type="gramStart"/>
      <w:r w:rsidRPr="00DB61AA">
        <w:rPr>
          <w:rFonts w:ascii="Circular Std Book" w:eastAsia="Times New Roman" w:hAnsi="Circular Std Book" w:cs="Circular Std Book"/>
          <w:szCs w:val="24"/>
        </w:rPr>
        <w:t>3040 postcode</w:t>
      </w:r>
      <w:proofErr w:type="gramEnd"/>
      <w:r w:rsidRPr="00DB61AA">
        <w:rPr>
          <w:rFonts w:ascii="Circular Std Book" w:eastAsia="Times New Roman" w:hAnsi="Circular Std Book" w:cs="Circular Std Book"/>
          <w:szCs w:val="24"/>
        </w:rPr>
        <w:t xml:space="preserve"> area (Essendon, Niddrie and Aberfeldie) </w:t>
      </w:r>
    </w:p>
    <w:p w14:paraId="34EFB679" w14:textId="77777777" w:rsidR="00681D11" w:rsidRPr="00B2525C" w:rsidRDefault="00681D11" w:rsidP="00681D11">
      <w:pPr>
        <w:pStyle w:val="ListParagraph"/>
        <w:widowControl w:val="0"/>
        <w:tabs>
          <w:tab w:val="left" w:pos="479"/>
          <w:tab w:val="left" w:pos="480"/>
        </w:tabs>
        <w:autoSpaceDE w:val="0"/>
        <w:autoSpaceDN w:val="0"/>
        <w:spacing w:before="19" w:after="0"/>
        <w:ind w:left="480"/>
        <w:contextualSpacing w:val="0"/>
        <w:rPr>
          <w:rFonts w:ascii="Arial" w:hAnsi="Arial" w:cs="Arial"/>
          <w:highlight w:val="yellow"/>
        </w:rPr>
      </w:pPr>
    </w:p>
    <w:p w14:paraId="6B380736" w14:textId="77777777" w:rsidR="00ED3EC3" w:rsidRDefault="00ED3EC3" w:rsidP="005C3348">
      <w:pPr>
        <w:pStyle w:val="Heading3"/>
        <w:rPr>
          <w:rFonts w:cs="Arial"/>
        </w:rPr>
      </w:pPr>
      <w:r>
        <w:rPr>
          <w:rFonts w:cs="Arial"/>
        </w:rPr>
        <w:br w:type="page"/>
      </w:r>
    </w:p>
    <w:p w14:paraId="5F7998DA" w14:textId="77777777" w:rsidR="00BF15D0" w:rsidRDefault="00A55B7D" w:rsidP="005C3348">
      <w:pPr>
        <w:pStyle w:val="Heading3"/>
        <w:rPr>
          <w:rFonts w:cs="Arial"/>
        </w:rPr>
      </w:pPr>
      <w:r w:rsidRPr="00B2525C">
        <w:rPr>
          <w:rFonts w:cs="Arial"/>
        </w:rPr>
        <w:lastRenderedPageBreak/>
        <w:t xml:space="preserve">International </w:t>
      </w:r>
      <w:r w:rsidR="002A53F6" w:rsidRPr="00B2525C">
        <w:rPr>
          <w:rFonts w:cs="Arial"/>
        </w:rPr>
        <w:t>s</w:t>
      </w:r>
      <w:r w:rsidRPr="00B2525C">
        <w:rPr>
          <w:rFonts w:cs="Arial"/>
        </w:rPr>
        <w:t>tudents</w:t>
      </w:r>
    </w:p>
    <w:p w14:paraId="56E9D54F" w14:textId="77777777" w:rsidR="00BE2883" w:rsidRDefault="00BF15D0" w:rsidP="00A55B7D">
      <w:pPr>
        <w:rPr>
          <w:rFonts w:cs="Arial"/>
        </w:rPr>
      </w:pPr>
      <w:r w:rsidRPr="00B2525C">
        <w:rPr>
          <w:rFonts w:cs="Arial"/>
        </w:rPr>
        <w:t>In 2016, the number of international students attending TAFE and University was 1713</w:t>
      </w:r>
      <w:r w:rsidR="00435181" w:rsidRPr="00B2525C">
        <w:rPr>
          <w:rStyle w:val="FootnoteReference"/>
          <w:rFonts w:cs="Arial"/>
        </w:rPr>
        <w:footnoteReference w:id="2"/>
      </w:r>
      <w:r w:rsidRPr="00B2525C">
        <w:rPr>
          <w:rFonts w:cs="Arial"/>
        </w:rPr>
        <w:t>.</w:t>
      </w:r>
      <w:r w:rsidR="006A3BC1" w:rsidRPr="00B2525C">
        <w:rPr>
          <w:rFonts w:cs="Arial"/>
        </w:rPr>
        <w:t xml:space="preserve"> In total there were 9,167</w:t>
      </w:r>
      <w:r w:rsidR="00A15B24" w:rsidRPr="00B2525C">
        <w:rPr>
          <w:rFonts w:cs="Arial"/>
        </w:rPr>
        <w:t xml:space="preserve"> </w:t>
      </w:r>
      <w:r w:rsidR="006A3BC1" w:rsidRPr="00B2525C">
        <w:rPr>
          <w:rFonts w:cs="Arial"/>
        </w:rPr>
        <w:t xml:space="preserve">TAFE and University students living in Moonee Valley in </w:t>
      </w:r>
      <w:r w:rsidR="00A15B24" w:rsidRPr="00B2525C">
        <w:rPr>
          <w:rFonts w:cs="Arial"/>
        </w:rPr>
        <w:t>2</w:t>
      </w:r>
      <w:r w:rsidR="006A3BC1" w:rsidRPr="00B2525C">
        <w:rPr>
          <w:rFonts w:cs="Arial"/>
        </w:rPr>
        <w:t xml:space="preserve">016, meaning international students accounted for about 19% of </w:t>
      </w:r>
      <w:r w:rsidR="00773432" w:rsidRPr="00B2525C">
        <w:rPr>
          <w:rFonts w:cs="Arial"/>
        </w:rPr>
        <w:t>all post-secondary education students living in the municipality.</w:t>
      </w:r>
    </w:p>
    <w:p w14:paraId="63A92A0A" w14:textId="77777777" w:rsidR="00DB61AA" w:rsidRDefault="00DB61AA" w:rsidP="00A55B7D">
      <w:pPr>
        <w:rPr>
          <w:rFonts w:cs="Arial"/>
        </w:rPr>
      </w:pPr>
    </w:p>
    <w:p w14:paraId="6BBEA283" w14:textId="1A8DB13A" w:rsidR="00DB61AA" w:rsidRDefault="000052A8" w:rsidP="00A55B7D">
      <w:pPr>
        <w:rPr>
          <w:rFonts w:cs="Arial"/>
        </w:rPr>
      </w:pPr>
      <w:r w:rsidRPr="00ED3EC3">
        <w:rPr>
          <w:rFonts w:cs="Arial"/>
          <w:b/>
        </w:rPr>
        <w:t>Figure</w:t>
      </w:r>
      <w:r w:rsidR="00B93B84">
        <w:rPr>
          <w:rFonts w:cs="Arial"/>
          <w:b/>
        </w:rPr>
        <w:t xml:space="preserve"> 17</w:t>
      </w:r>
      <w:r w:rsidR="00B93B84">
        <w:rPr>
          <w:rFonts w:cs="Arial"/>
        </w:rPr>
        <w:t>. N</w:t>
      </w:r>
      <w:r w:rsidR="00DB61AA" w:rsidRPr="00DB61AA">
        <w:rPr>
          <w:rFonts w:cs="Arial"/>
        </w:rPr>
        <w:t>umber of TAFE and university students living in Moonee Valley at 2016 Census</w:t>
      </w:r>
    </w:p>
    <w:p w14:paraId="0B6D767A" w14:textId="77777777" w:rsidR="00ED3EC3" w:rsidRDefault="00ED3EC3" w:rsidP="00A55B7D">
      <w:pPr>
        <w:rPr>
          <w:rFonts w:cs="Arial"/>
        </w:rPr>
      </w:pPr>
    </w:p>
    <w:p w14:paraId="0166D59B" w14:textId="77777777" w:rsidR="00A55B7D" w:rsidRPr="00B2525C" w:rsidRDefault="00773432" w:rsidP="00A55B7D">
      <w:pPr>
        <w:rPr>
          <w:rFonts w:cs="Arial"/>
        </w:rPr>
      </w:pPr>
      <w:r w:rsidRPr="00B2525C">
        <w:rPr>
          <w:rFonts w:cs="Arial"/>
        </w:rPr>
        <w:t xml:space="preserve"> </w:t>
      </w:r>
      <w:r w:rsidR="00435181" w:rsidRPr="00B2525C">
        <w:rPr>
          <w:rFonts w:cs="Arial"/>
          <w:noProof/>
        </w:rPr>
        <w:drawing>
          <wp:inline distT="0" distB="0" distL="0" distR="0" wp14:anchorId="173F4377" wp14:editId="710BF475">
            <wp:extent cx="5667375" cy="2833735"/>
            <wp:effectExtent l="0" t="0" r="9525" b="5080"/>
            <wp:docPr id="235" name="Chart 235">
              <a:extLst xmlns:a="http://schemas.openxmlformats.org/drawingml/2006/main">
                <a:ext uri="{FF2B5EF4-FFF2-40B4-BE49-F238E27FC236}">
                  <a16:creationId xmlns:a16="http://schemas.microsoft.com/office/drawing/2014/main" id="{DD04AEDC-94D0-4C09-BEEC-37D5FD674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1D4006" w14:textId="77777777" w:rsidR="00435181" w:rsidRDefault="00435181" w:rsidP="00435181">
      <w:pPr>
        <w:pStyle w:val="Caption"/>
        <w:rPr>
          <w:rFonts w:cs="Arial"/>
        </w:rPr>
      </w:pPr>
      <w:r w:rsidRPr="00B2525C">
        <w:rPr>
          <w:rFonts w:cs="Arial"/>
        </w:rPr>
        <w:t>Source: ABS, Census 2016</w:t>
      </w:r>
    </w:p>
    <w:p w14:paraId="3A2E002C" w14:textId="476FF782" w:rsidR="0003084E" w:rsidRDefault="0003084E" w:rsidP="00ED3EC3">
      <w:r>
        <w:br w:type="page"/>
      </w:r>
    </w:p>
    <w:p w14:paraId="11C95CB2" w14:textId="77777777" w:rsidR="00A55B7D" w:rsidRPr="00B2525C" w:rsidRDefault="00A55B7D" w:rsidP="00A85DA8">
      <w:pPr>
        <w:pStyle w:val="Heading3"/>
        <w:rPr>
          <w:rFonts w:cs="Arial"/>
          <w:color w:val="7030A0"/>
        </w:rPr>
      </w:pPr>
      <w:r w:rsidRPr="00B2525C">
        <w:rPr>
          <w:rFonts w:cs="Arial"/>
          <w:color w:val="7030A0"/>
        </w:rPr>
        <w:lastRenderedPageBreak/>
        <w:t xml:space="preserve">Impact of </w:t>
      </w:r>
      <w:r w:rsidR="005D542F" w:rsidRPr="00B2525C">
        <w:rPr>
          <w:rFonts w:cs="Arial"/>
          <w:color w:val="7030A0"/>
        </w:rPr>
        <w:t>COVID-19</w:t>
      </w:r>
      <w:r w:rsidR="00645C51" w:rsidRPr="00B2525C">
        <w:rPr>
          <w:rFonts w:cs="Arial"/>
          <w:color w:val="7030A0"/>
        </w:rPr>
        <w:t xml:space="preserve"> for </w:t>
      </w:r>
      <w:r w:rsidR="004725D1" w:rsidRPr="00B2525C">
        <w:rPr>
          <w:rFonts w:cs="Arial"/>
          <w:color w:val="7030A0"/>
        </w:rPr>
        <w:t xml:space="preserve">our diverse </w:t>
      </w:r>
      <w:r w:rsidR="005C3348" w:rsidRPr="00B2525C">
        <w:rPr>
          <w:rFonts w:cs="Arial"/>
          <w:color w:val="7030A0"/>
        </w:rPr>
        <w:t xml:space="preserve">and </w:t>
      </w:r>
      <w:r w:rsidR="001B4809" w:rsidRPr="00B2525C">
        <w:rPr>
          <w:rFonts w:cs="Arial"/>
          <w:color w:val="7030A0"/>
        </w:rPr>
        <w:t>target populations</w:t>
      </w:r>
      <w:r w:rsidR="00645C51" w:rsidRPr="00B2525C">
        <w:rPr>
          <w:rFonts w:cs="Arial"/>
          <w:color w:val="7030A0"/>
        </w:rPr>
        <w:t xml:space="preserve"> </w:t>
      </w:r>
    </w:p>
    <w:p w14:paraId="74F5E1CB" w14:textId="77777777" w:rsidR="00DE70DF" w:rsidRPr="007C4970" w:rsidRDefault="00A55B7D" w:rsidP="004C17A8">
      <w:pPr>
        <w:spacing w:before="116"/>
        <w:ind w:right="436"/>
        <w:rPr>
          <w:rFonts w:cs="Arial"/>
        </w:rPr>
      </w:pPr>
      <w:r w:rsidRPr="007C4970">
        <w:rPr>
          <w:rFonts w:cs="Arial"/>
        </w:rPr>
        <w:t xml:space="preserve">The COVID-19 crisis has amplified some of the existing disparities in health and wellbeing for </w:t>
      </w:r>
      <w:r w:rsidR="00BF15D0" w:rsidRPr="007C4970">
        <w:rPr>
          <w:rFonts w:cs="Arial"/>
          <w:color w:val="7030A0"/>
        </w:rPr>
        <w:t xml:space="preserve">CALD </w:t>
      </w:r>
      <w:r w:rsidRPr="007C4970">
        <w:rPr>
          <w:rFonts w:cs="Arial"/>
          <w:color w:val="7030A0"/>
        </w:rPr>
        <w:t>communities</w:t>
      </w:r>
      <w:r w:rsidR="007F2831" w:rsidRPr="007C4970">
        <w:rPr>
          <w:rFonts w:cs="Arial"/>
          <w:color w:val="7030A0"/>
        </w:rPr>
        <w:t>,</w:t>
      </w:r>
      <w:r w:rsidR="00A15B24" w:rsidRPr="007C4970">
        <w:rPr>
          <w:rFonts w:cs="Arial"/>
          <w:color w:val="7030A0"/>
        </w:rPr>
        <w:t xml:space="preserve"> LGBTIQA+ communities,</w:t>
      </w:r>
      <w:r w:rsidR="007F2831" w:rsidRPr="007C4970">
        <w:rPr>
          <w:rFonts w:cs="Arial"/>
          <w:color w:val="7030A0"/>
        </w:rPr>
        <w:t xml:space="preserve"> </w:t>
      </w:r>
      <w:r w:rsidR="0043326A" w:rsidRPr="007C4970">
        <w:rPr>
          <w:rFonts w:cs="Arial"/>
          <w:color w:val="7030A0"/>
        </w:rPr>
        <w:t>r</w:t>
      </w:r>
      <w:r w:rsidR="007F2831" w:rsidRPr="007C4970">
        <w:rPr>
          <w:rFonts w:cs="Arial"/>
          <w:color w:val="7030A0"/>
        </w:rPr>
        <w:t xml:space="preserve">efugee and </w:t>
      </w:r>
      <w:r w:rsidR="0043326A" w:rsidRPr="007C4970">
        <w:rPr>
          <w:rFonts w:cs="Arial"/>
          <w:color w:val="7030A0"/>
        </w:rPr>
        <w:t>a</w:t>
      </w:r>
      <w:r w:rsidR="007F2831" w:rsidRPr="007C4970">
        <w:rPr>
          <w:rFonts w:cs="Arial"/>
          <w:color w:val="7030A0"/>
        </w:rPr>
        <w:t xml:space="preserve">sylum </w:t>
      </w:r>
      <w:r w:rsidR="00B314C7" w:rsidRPr="007C4970">
        <w:rPr>
          <w:rFonts w:cs="Arial"/>
          <w:color w:val="7030A0"/>
        </w:rPr>
        <w:t>s</w:t>
      </w:r>
      <w:r w:rsidR="007F2831" w:rsidRPr="007C4970">
        <w:rPr>
          <w:rFonts w:cs="Arial"/>
          <w:color w:val="7030A0"/>
        </w:rPr>
        <w:t xml:space="preserve">eekers, </w:t>
      </w:r>
      <w:r w:rsidR="0043326A" w:rsidRPr="007C4970">
        <w:rPr>
          <w:rFonts w:cs="Arial"/>
          <w:color w:val="7030A0"/>
        </w:rPr>
        <w:t>i</w:t>
      </w:r>
      <w:r w:rsidR="007F2831" w:rsidRPr="007C4970">
        <w:rPr>
          <w:rFonts w:cs="Arial"/>
          <w:color w:val="7030A0"/>
        </w:rPr>
        <w:t xml:space="preserve">nternational </w:t>
      </w:r>
      <w:r w:rsidR="001B4809" w:rsidRPr="007C4970">
        <w:rPr>
          <w:rFonts w:cs="Arial"/>
          <w:color w:val="7030A0"/>
        </w:rPr>
        <w:t>s</w:t>
      </w:r>
      <w:r w:rsidR="007F2831" w:rsidRPr="007C4970">
        <w:rPr>
          <w:rFonts w:cs="Arial"/>
          <w:color w:val="7030A0"/>
        </w:rPr>
        <w:t xml:space="preserve">tudents </w:t>
      </w:r>
      <w:r w:rsidR="007F2831" w:rsidRPr="007C4970">
        <w:rPr>
          <w:rFonts w:cs="Arial"/>
        </w:rPr>
        <w:t xml:space="preserve">and </w:t>
      </w:r>
      <w:r w:rsidR="007F2831" w:rsidRPr="007C4970">
        <w:rPr>
          <w:rFonts w:cs="Arial"/>
          <w:color w:val="7030A0"/>
        </w:rPr>
        <w:t>people living with disabilities</w:t>
      </w:r>
      <w:r w:rsidR="0029000B" w:rsidRPr="007C4970">
        <w:rPr>
          <w:rFonts w:cs="Arial"/>
          <w:color w:val="7030A0"/>
        </w:rPr>
        <w:t xml:space="preserve"> </w:t>
      </w:r>
      <w:r w:rsidRPr="007C4970">
        <w:rPr>
          <w:rFonts w:cs="Arial"/>
        </w:rPr>
        <w:t>due to challenges accessing support, disruption in trusted community networks, and the prevailing lack of culturally responsive mental health services.</w:t>
      </w:r>
      <w:r w:rsidR="00A15B24" w:rsidRPr="007C4970">
        <w:rPr>
          <w:rFonts w:cs="Arial"/>
        </w:rPr>
        <w:t xml:space="preserve"> </w:t>
      </w:r>
      <w:r w:rsidR="00DE70DF" w:rsidRPr="007C4970">
        <w:rPr>
          <w:rFonts w:cs="Arial"/>
          <w:color w:val="7030A0"/>
        </w:rPr>
        <w:t>Carers</w:t>
      </w:r>
      <w:r w:rsidR="00DE70DF" w:rsidRPr="007C4970">
        <w:rPr>
          <w:rFonts w:cs="Arial"/>
        </w:rPr>
        <w:t xml:space="preserve"> are</w:t>
      </w:r>
      <w:r w:rsidR="00A15B24" w:rsidRPr="007C4970">
        <w:rPr>
          <w:rFonts w:cs="Arial"/>
        </w:rPr>
        <w:t xml:space="preserve"> also</w:t>
      </w:r>
      <w:r w:rsidR="00DE70DF" w:rsidRPr="007C4970">
        <w:rPr>
          <w:rFonts w:cs="Arial"/>
        </w:rPr>
        <w:t xml:space="preserve"> already more isolated than the general population and </w:t>
      </w:r>
      <w:r w:rsidR="00F964DA" w:rsidRPr="007C4970">
        <w:rPr>
          <w:rFonts w:cs="Arial"/>
        </w:rPr>
        <w:t>may</w:t>
      </w:r>
      <w:r w:rsidR="00DE70DF" w:rsidRPr="007C4970">
        <w:rPr>
          <w:rFonts w:cs="Arial"/>
        </w:rPr>
        <w:t xml:space="preserve"> be further exacerbated during the pandemic. There is </w:t>
      </w:r>
      <w:r w:rsidR="00F964DA" w:rsidRPr="007C4970">
        <w:rPr>
          <w:rFonts w:cs="Arial"/>
        </w:rPr>
        <w:t xml:space="preserve">potentially </w:t>
      </w:r>
      <w:r w:rsidR="00DE70DF" w:rsidRPr="007C4970">
        <w:rPr>
          <w:rFonts w:cs="Arial"/>
        </w:rPr>
        <w:t xml:space="preserve">increased anxiety as they </w:t>
      </w:r>
      <w:r w:rsidR="00F964DA" w:rsidRPr="007C4970">
        <w:rPr>
          <w:rFonts w:cs="Arial"/>
        </w:rPr>
        <w:t>maybe</w:t>
      </w:r>
      <w:r w:rsidR="00DE70DF" w:rsidRPr="007C4970">
        <w:rPr>
          <w:rFonts w:cs="Arial"/>
        </w:rPr>
        <w:t xml:space="preserve"> caring for someone at-risk of contracting the virus</w:t>
      </w:r>
      <w:r w:rsidR="00F964DA" w:rsidRPr="007C4970">
        <w:rPr>
          <w:rFonts w:cs="Arial"/>
        </w:rPr>
        <w:t>.</w:t>
      </w:r>
    </w:p>
    <w:p w14:paraId="17E40D61" w14:textId="77777777" w:rsidR="007B0DB7" w:rsidRPr="00B2525C" w:rsidRDefault="007B0DB7" w:rsidP="0043326A">
      <w:pPr>
        <w:spacing w:before="116"/>
        <w:ind w:right="436"/>
        <w:rPr>
          <w:rFonts w:cs="Arial"/>
          <w:color w:val="7030A0"/>
          <w:position w:val="7"/>
          <w:sz w:val="13"/>
        </w:rPr>
      </w:pPr>
      <w:r w:rsidRPr="00B2525C">
        <w:rPr>
          <w:rFonts w:cs="Arial"/>
          <w:color w:val="7030A0"/>
          <w:position w:val="7"/>
          <w:sz w:val="13"/>
        </w:rPr>
        <w:br w:type="page"/>
      </w:r>
    </w:p>
    <w:p w14:paraId="22E1F39E" w14:textId="77777777" w:rsidR="00773623" w:rsidRPr="00B2525C" w:rsidRDefault="00773623" w:rsidP="0000364C">
      <w:pPr>
        <w:pStyle w:val="Heading1"/>
        <w:numPr>
          <w:ilvl w:val="0"/>
          <w:numId w:val="20"/>
        </w:numPr>
        <w:rPr>
          <w:rFonts w:cs="Arial"/>
        </w:rPr>
      </w:pPr>
      <w:bookmarkStart w:id="25" w:name="_Toc80014166"/>
      <w:r w:rsidRPr="00B2525C">
        <w:rPr>
          <w:rFonts w:cs="Arial"/>
        </w:rPr>
        <w:lastRenderedPageBreak/>
        <w:t xml:space="preserve">Individual </w:t>
      </w:r>
      <w:r w:rsidR="002A53F6" w:rsidRPr="00B2525C">
        <w:rPr>
          <w:rFonts w:cs="Arial"/>
        </w:rPr>
        <w:t>b</w:t>
      </w:r>
      <w:r w:rsidRPr="00B2525C">
        <w:rPr>
          <w:rFonts w:cs="Arial"/>
        </w:rPr>
        <w:t>ehavioural factors influencing health and wellbeing</w:t>
      </w:r>
      <w:bookmarkEnd w:id="25"/>
    </w:p>
    <w:p w14:paraId="514BC2C6" w14:textId="77777777" w:rsidR="00BE2883" w:rsidRDefault="00BE2883" w:rsidP="00570769">
      <w:pPr>
        <w:ind w:left="360"/>
        <w:rPr>
          <w:rFonts w:cs="Arial"/>
          <w:b/>
        </w:rPr>
      </w:pPr>
    </w:p>
    <w:p w14:paraId="627BFF9E" w14:textId="77777777" w:rsidR="00570769" w:rsidRPr="00B2525C" w:rsidRDefault="00773623" w:rsidP="00570769">
      <w:pPr>
        <w:ind w:left="360"/>
        <w:rPr>
          <w:rFonts w:cs="Arial"/>
          <w:b/>
        </w:rPr>
      </w:pPr>
      <w:r w:rsidRPr="00B2525C">
        <w:rPr>
          <w:rFonts w:cs="Arial"/>
          <w:b/>
        </w:rPr>
        <w:t>Key points</w:t>
      </w:r>
      <w:r w:rsidR="00570769" w:rsidRPr="00B2525C">
        <w:rPr>
          <w:rFonts w:cs="Arial"/>
          <w:b/>
        </w:rPr>
        <w:t>:</w:t>
      </w:r>
    </w:p>
    <w:p w14:paraId="4A0A3A7F" w14:textId="77777777" w:rsidR="00773623" w:rsidRPr="007C4970" w:rsidRDefault="00FB37D0" w:rsidP="00BE2883">
      <w:pPr>
        <w:pStyle w:val="ListParagraph"/>
        <w:numPr>
          <w:ilvl w:val="0"/>
          <w:numId w:val="37"/>
        </w:numPr>
        <w:pBdr>
          <w:top w:val="single" w:sz="4" w:space="1" w:color="auto"/>
          <w:bottom w:val="single" w:sz="4" w:space="1" w:color="auto"/>
        </w:pBdr>
        <w:spacing w:line="360" w:lineRule="auto"/>
        <w:rPr>
          <w:rFonts w:ascii="Circular Std Book" w:hAnsi="Circular Std Book" w:cs="Circular Std Book"/>
          <w:szCs w:val="24"/>
        </w:rPr>
      </w:pPr>
      <w:r w:rsidRPr="007C4970">
        <w:rPr>
          <w:rFonts w:ascii="Circular Std Book" w:hAnsi="Circular Std Book" w:cs="Circular Std Book"/>
          <w:szCs w:val="24"/>
        </w:rPr>
        <w:t>Alcohol</w:t>
      </w:r>
      <w:r w:rsidR="00A15B24" w:rsidRPr="007C4970">
        <w:rPr>
          <w:rFonts w:ascii="Circular Std Book" w:hAnsi="Circular Std Book" w:cs="Circular Std Book"/>
          <w:szCs w:val="24"/>
        </w:rPr>
        <w:t xml:space="preserve"> use </w:t>
      </w:r>
      <w:r w:rsidRPr="007C4970">
        <w:rPr>
          <w:rFonts w:ascii="Circular Std Book" w:hAnsi="Circular Std Book" w:cs="Circular Std Book"/>
          <w:szCs w:val="24"/>
        </w:rPr>
        <w:t xml:space="preserve">and drug taking </w:t>
      </w:r>
      <w:r w:rsidR="00681D11" w:rsidRPr="007C4970">
        <w:rPr>
          <w:rFonts w:ascii="Circular Std Book" w:hAnsi="Circular Std Book" w:cs="Circular Std Book"/>
          <w:szCs w:val="24"/>
        </w:rPr>
        <w:t xml:space="preserve">among </w:t>
      </w:r>
      <w:r w:rsidRPr="007C4970">
        <w:rPr>
          <w:rFonts w:ascii="Circular Std Book" w:hAnsi="Circular Std Book" w:cs="Circular Std Book"/>
          <w:szCs w:val="24"/>
        </w:rPr>
        <w:t>adults is higher compared t</w:t>
      </w:r>
      <w:r w:rsidR="0076771F" w:rsidRPr="007C4970">
        <w:rPr>
          <w:rFonts w:ascii="Circular Std Book" w:hAnsi="Circular Std Book" w:cs="Circular Std Book"/>
          <w:szCs w:val="24"/>
        </w:rPr>
        <w:t xml:space="preserve">o the </w:t>
      </w:r>
      <w:r w:rsidR="00A15B24" w:rsidRPr="007C4970">
        <w:rPr>
          <w:rFonts w:ascii="Circular Std Book" w:hAnsi="Circular Std Book" w:cs="Circular Std Book"/>
          <w:szCs w:val="24"/>
        </w:rPr>
        <w:t>Victoria</w:t>
      </w:r>
      <w:r w:rsidR="0076771F" w:rsidRPr="007C4970">
        <w:rPr>
          <w:rFonts w:ascii="Circular Std Book" w:hAnsi="Circular Std Book" w:cs="Circular Std Book"/>
          <w:szCs w:val="24"/>
        </w:rPr>
        <w:t>n average</w:t>
      </w:r>
      <w:r w:rsidR="00A15B24" w:rsidRPr="007C4970">
        <w:rPr>
          <w:rFonts w:ascii="Circular Std Book" w:hAnsi="Circular Std Book" w:cs="Circular Std Book"/>
          <w:szCs w:val="24"/>
        </w:rPr>
        <w:t xml:space="preserve"> and the Western Melbourne area </w:t>
      </w:r>
    </w:p>
    <w:p w14:paraId="0572FBC6" w14:textId="77777777" w:rsidR="00FB37D0" w:rsidRPr="007C4970" w:rsidRDefault="00681D11" w:rsidP="00BE2883">
      <w:pPr>
        <w:pStyle w:val="ListParagraph"/>
        <w:numPr>
          <w:ilvl w:val="0"/>
          <w:numId w:val="37"/>
        </w:numPr>
        <w:pBdr>
          <w:top w:val="single" w:sz="4" w:space="1" w:color="auto"/>
          <w:bottom w:val="single" w:sz="4" w:space="1" w:color="auto"/>
        </w:pBdr>
        <w:spacing w:line="360" w:lineRule="auto"/>
        <w:rPr>
          <w:rFonts w:ascii="Circular Std Book" w:hAnsi="Circular Std Book" w:cs="Circular Std Book"/>
          <w:szCs w:val="24"/>
        </w:rPr>
      </w:pPr>
      <w:r w:rsidRPr="007C4970">
        <w:rPr>
          <w:rFonts w:ascii="Circular Std Book" w:hAnsi="Circular Std Book" w:cs="Circular Std Book"/>
          <w:szCs w:val="24"/>
        </w:rPr>
        <w:t>M</w:t>
      </w:r>
      <w:r w:rsidR="00FB37D0" w:rsidRPr="007C4970">
        <w:rPr>
          <w:rFonts w:ascii="Circular Std Book" w:hAnsi="Circular Std Book" w:cs="Circular Std Book"/>
          <w:szCs w:val="24"/>
        </w:rPr>
        <w:t xml:space="preserve">ales </w:t>
      </w:r>
      <w:r w:rsidRPr="007C4970">
        <w:rPr>
          <w:rFonts w:ascii="Circular Std Book" w:hAnsi="Circular Std Book" w:cs="Circular Std Book"/>
          <w:szCs w:val="24"/>
        </w:rPr>
        <w:t xml:space="preserve">were </w:t>
      </w:r>
      <w:r w:rsidR="00FB37D0" w:rsidRPr="007C4970">
        <w:rPr>
          <w:rFonts w:ascii="Circular Std Book" w:hAnsi="Circular Std Book" w:cs="Circular Std Book"/>
          <w:szCs w:val="24"/>
        </w:rPr>
        <w:t>more likely to be hospitalised compared to females due to their drug and alcohol behaviour</w:t>
      </w:r>
    </w:p>
    <w:p w14:paraId="2731820B" w14:textId="77777777" w:rsidR="00A15B24" w:rsidRPr="007C4970" w:rsidRDefault="00A15B24" w:rsidP="00BE2883">
      <w:pPr>
        <w:pStyle w:val="ListParagraph"/>
        <w:numPr>
          <w:ilvl w:val="0"/>
          <w:numId w:val="37"/>
        </w:numPr>
        <w:pBdr>
          <w:top w:val="single" w:sz="4" w:space="1" w:color="auto"/>
          <w:bottom w:val="single" w:sz="4" w:space="1" w:color="auto"/>
        </w:pBdr>
        <w:spacing w:line="360" w:lineRule="auto"/>
        <w:rPr>
          <w:rFonts w:ascii="Circular Std Book" w:hAnsi="Circular Std Book" w:cs="Circular Std Book"/>
          <w:szCs w:val="24"/>
        </w:rPr>
      </w:pPr>
      <w:r w:rsidRPr="007C4970">
        <w:rPr>
          <w:rFonts w:ascii="Circular Std Book" w:hAnsi="Circular Std Book" w:cs="Circular Std Book"/>
          <w:szCs w:val="24"/>
        </w:rPr>
        <w:t>Tobacco use is slightly lower than the Victoria</w:t>
      </w:r>
      <w:r w:rsidR="0076771F" w:rsidRPr="007C4970">
        <w:rPr>
          <w:rFonts w:ascii="Circular Std Book" w:hAnsi="Circular Std Book" w:cs="Circular Std Book"/>
          <w:szCs w:val="24"/>
        </w:rPr>
        <w:t>n average</w:t>
      </w:r>
      <w:r w:rsidRPr="007C4970">
        <w:rPr>
          <w:rFonts w:ascii="Circular Std Book" w:hAnsi="Circular Std Book" w:cs="Circular Std Book"/>
          <w:szCs w:val="24"/>
        </w:rPr>
        <w:t xml:space="preserve">, and on par with the rest of Western Melbourne area </w:t>
      </w:r>
    </w:p>
    <w:p w14:paraId="3156B2CB" w14:textId="77777777" w:rsidR="00FB37D0" w:rsidRPr="007C4970" w:rsidRDefault="00FB37D0" w:rsidP="00BE2883">
      <w:pPr>
        <w:pStyle w:val="ListParagraph"/>
        <w:numPr>
          <w:ilvl w:val="0"/>
          <w:numId w:val="37"/>
        </w:numPr>
        <w:pBdr>
          <w:top w:val="single" w:sz="4" w:space="1" w:color="auto"/>
          <w:bottom w:val="single" w:sz="4" w:space="1" w:color="auto"/>
        </w:pBdr>
        <w:spacing w:line="360" w:lineRule="auto"/>
        <w:rPr>
          <w:rFonts w:ascii="Circular Std Book" w:hAnsi="Circular Std Book" w:cs="Circular Std Book"/>
          <w:szCs w:val="24"/>
        </w:rPr>
      </w:pPr>
      <w:r w:rsidRPr="007C4970">
        <w:rPr>
          <w:rFonts w:ascii="Circular Std Book" w:hAnsi="Circular Std Book" w:cs="Circular Std Book"/>
          <w:szCs w:val="24"/>
        </w:rPr>
        <w:t>In a usual year, almost $80 million is lost through pokies in the City of Moonee Valley</w:t>
      </w:r>
    </w:p>
    <w:p w14:paraId="6615E492" w14:textId="77777777" w:rsidR="00FB37D0" w:rsidRPr="007C4970" w:rsidRDefault="00FB37D0" w:rsidP="00BE2883">
      <w:pPr>
        <w:pStyle w:val="ListParagraph"/>
        <w:numPr>
          <w:ilvl w:val="0"/>
          <w:numId w:val="37"/>
        </w:numPr>
        <w:pBdr>
          <w:top w:val="single" w:sz="4" w:space="1" w:color="auto"/>
          <w:bottom w:val="single" w:sz="4" w:space="1" w:color="auto"/>
        </w:pBdr>
        <w:spacing w:line="360" w:lineRule="auto"/>
        <w:rPr>
          <w:rFonts w:ascii="Circular Std Book" w:hAnsi="Circular Std Book" w:cs="Circular Std Book"/>
          <w:szCs w:val="24"/>
        </w:rPr>
      </w:pPr>
      <w:r w:rsidRPr="007C4970">
        <w:rPr>
          <w:rFonts w:ascii="Circular Std Book" w:hAnsi="Circular Std Book" w:cs="Circular Std Book"/>
          <w:szCs w:val="24"/>
        </w:rPr>
        <w:t>Physical activity rates for adults are higher compared to Metropolitan Melbourne</w:t>
      </w:r>
    </w:p>
    <w:p w14:paraId="70EE922C" w14:textId="77777777" w:rsidR="00773623" w:rsidRPr="007C4970" w:rsidRDefault="00E37EA5" w:rsidP="00BE2883">
      <w:pPr>
        <w:pStyle w:val="ListParagraph"/>
        <w:numPr>
          <w:ilvl w:val="0"/>
          <w:numId w:val="37"/>
        </w:numPr>
        <w:pBdr>
          <w:top w:val="single" w:sz="4" w:space="1" w:color="auto"/>
          <w:bottom w:val="single" w:sz="4" w:space="1" w:color="auto"/>
        </w:pBdr>
        <w:spacing w:line="360" w:lineRule="auto"/>
        <w:rPr>
          <w:rFonts w:ascii="Circular Std Book" w:hAnsi="Circular Std Book" w:cs="Circular Std Book"/>
          <w:szCs w:val="24"/>
        </w:rPr>
      </w:pPr>
      <w:r w:rsidRPr="007C4970">
        <w:rPr>
          <w:rFonts w:ascii="Circular Std Book" w:hAnsi="Circular Std Book" w:cs="Circular Std Book"/>
          <w:szCs w:val="24"/>
        </w:rPr>
        <w:t>Moonee Valley City Council</w:t>
      </w:r>
      <w:r w:rsidR="00425345" w:rsidRPr="007C4970">
        <w:rPr>
          <w:rFonts w:ascii="Circular Std Book" w:hAnsi="Circular Std Book" w:cs="Circular Std Book"/>
          <w:szCs w:val="24"/>
        </w:rPr>
        <w:t xml:space="preserve"> residents had healthier eating behaviour, i.e. consumption of fruit and vegetables compared to other metropolitan municipalities however there is room for improvement as only 3.2</w:t>
      </w:r>
      <w:r w:rsidR="00A058BC" w:rsidRPr="007C4970">
        <w:rPr>
          <w:rFonts w:ascii="Circular Std Book" w:hAnsi="Circular Std Book" w:cs="Circular Std Book"/>
          <w:szCs w:val="24"/>
        </w:rPr>
        <w:t xml:space="preserve"> </w:t>
      </w:r>
      <w:r w:rsidR="0017290D" w:rsidRPr="007C4970">
        <w:rPr>
          <w:rFonts w:ascii="Circular Std Book" w:hAnsi="Circular Std Book" w:cs="Circular Std Book"/>
          <w:szCs w:val="24"/>
        </w:rPr>
        <w:t>per cent</w:t>
      </w:r>
      <w:r w:rsidR="00425345" w:rsidRPr="007C4970">
        <w:rPr>
          <w:rFonts w:ascii="Circular Std Book" w:hAnsi="Circular Std Book" w:cs="Circular Std Book"/>
          <w:szCs w:val="24"/>
        </w:rPr>
        <w:t xml:space="preserve"> of </w:t>
      </w:r>
      <w:r w:rsidRPr="007C4970">
        <w:rPr>
          <w:rFonts w:ascii="Circular Std Book" w:hAnsi="Circular Std Book" w:cs="Circular Std Book"/>
          <w:szCs w:val="24"/>
        </w:rPr>
        <w:t>Moonee Valley City Council</w:t>
      </w:r>
      <w:r w:rsidR="00425345" w:rsidRPr="007C4970">
        <w:rPr>
          <w:rFonts w:ascii="Circular Std Book" w:hAnsi="Circular Std Book" w:cs="Circular Std Book"/>
          <w:szCs w:val="24"/>
        </w:rPr>
        <w:t xml:space="preserve"> adults met the healthy eating guidelines.</w:t>
      </w:r>
    </w:p>
    <w:p w14:paraId="256D72AE" w14:textId="45E0296F" w:rsidR="00E53E77" w:rsidRDefault="00E53E77" w:rsidP="00E53E77">
      <w:pPr>
        <w:spacing w:before="240"/>
        <w:jc w:val="center"/>
        <w:rPr>
          <w:rFonts w:cs="Arial"/>
        </w:rPr>
      </w:pPr>
      <w:r>
        <w:rPr>
          <w:rFonts w:cs="Arial"/>
          <w:noProof/>
        </w:rPr>
        <w:drawing>
          <wp:inline distT="0" distB="0" distL="0" distR="0" wp14:anchorId="5D5DE511" wp14:editId="69677A0D">
            <wp:extent cx="3863340" cy="2226365"/>
            <wp:effectExtent l="0" t="0" r="381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2707722.tmp"/>
                    <pic:cNvPicPr/>
                  </pic:nvPicPr>
                  <pic:blipFill>
                    <a:blip r:embed="rId43">
                      <a:extLst>
                        <a:ext uri="{28A0092B-C50C-407E-A947-70E740481C1C}">
                          <a14:useLocalDpi xmlns:a14="http://schemas.microsoft.com/office/drawing/2010/main" val="0"/>
                        </a:ext>
                      </a:extLst>
                    </a:blip>
                    <a:stretch>
                      <a:fillRect/>
                    </a:stretch>
                  </pic:blipFill>
                  <pic:spPr>
                    <a:xfrm>
                      <a:off x="0" y="0"/>
                      <a:ext cx="3882619" cy="2237475"/>
                    </a:xfrm>
                    <a:prstGeom prst="rect">
                      <a:avLst/>
                    </a:prstGeom>
                  </pic:spPr>
                </pic:pic>
              </a:graphicData>
            </a:graphic>
          </wp:inline>
        </w:drawing>
      </w:r>
      <w:r w:rsidR="00316A9F">
        <w:rPr>
          <w:rStyle w:val="FootnoteReference"/>
          <w:rFonts w:cs="Arial"/>
        </w:rPr>
        <w:footnoteReference w:id="3"/>
      </w:r>
    </w:p>
    <w:p w14:paraId="13980BE0" w14:textId="48AA8895" w:rsidR="000933AF" w:rsidRPr="00B2525C" w:rsidRDefault="000933AF" w:rsidP="007F5DE9">
      <w:pPr>
        <w:spacing w:before="240"/>
        <w:rPr>
          <w:rFonts w:cs="Arial"/>
        </w:rPr>
      </w:pPr>
      <w:r w:rsidRPr="00B2525C">
        <w:rPr>
          <w:rFonts w:cs="Arial"/>
        </w:rPr>
        <w:lastRenderedPageBreak/>
        <w:t>Many of our behaviours influence our</w:t>
      </w:r>
      <w:r w:rsidR="0029000B" w:rsidRPr="00B2525C">
        <w:rPr>
          <w:rFonts w:cs="Arial"/>
        </w:rPr>
        <w:t xml:space="preserve"> </w:t>
      </w:r>
      <w:r w:rsidRPr="00B2525C">
        <w:rPr>
          <w:rFonts w:cs="Arial"/>
        </w:rPr>
        <w:t xml:space="preserve">health and wellbeing. Health promotion efforts aim to change behaviours and thereby prevent avoidable poor health, illness, injury and death. </w:t>
      </w:r>
      <w:r w:rsidR="00B314C7" w:rsidRPr="00B2525C">
        <w:rPr>
          <w:rFonts w:cs="Arial"/>
        </w:rPr>
        <w:t xml:space="preserve">The Victorian Government </w:t>
      </w:r>
      <w:r w:rsidRPr="00B2525C">
        <w:rPr>
          <w:rFonts w:cs="Arial"/>
        </w:rPr>
        <w:t>include</w:t>
      </w:r>
      <w:r w:rsidR="007F5DE9" w:rsidRPr="00B2525C">
        <w:rPr>
          <w:rFonts w:cs="Arial"/>
        </w:rPr>
        <w:t>s</w:t>
      </w:r>
      <w:r w:rsidRPr="00B2525C">
        <w:rPr>
          <w:rFonts w:cs="Arial"/>
        </w:rPr>
        <w:t xml:space="preserve"> </w:t>
      </w:r>
      <w:r w:rsidR="00E030BA" w:rsidRPr="00B2525C">
        <w:rPr>
          <w:rFonts w:cs="Arial"/>
        </w:rPr>
        <w:t>r</w:t>
      </w:r>
      <w:r w:rsidRPr="00B2525C">
        <w:rPr>
          <w:rFonts w:cs="Arial"/>
        </w:rPr>
        <w:t>educing tobacco-related harm</w:t>
      </w:r>
      <w:r w:rsidR="00E030BA" w:rsidRPr="00B2525C">
        <w:rPr>
          <w:rFonts w:cs="Arial"/>
        </w:rPr>
        <w:t>, r</w:t>
      </w:r>
      <w:r w:rsidRPr="00B2525C">
        <w:rPr>
          <w:rFonts w:cs="Arial"/>
        </w:rPr>
        <w:t>educing harmful alcohol and drug use</w:t>
      </w:r>
      <w:r w:rsidR="00B314C7" w:rsidRPr="00B2525C">
        <w:rPr>
          <w:rFonts w:cs="Arial"/>
        </w:rPr>
        <w:t>,</w:t>
      </w:r>
      <w:r w:rsidR="00E030BA" w:rsidRPr="00B2525C">
        <w:rPr>
          <w:rFonts w:cs="Arial"/>
        </w:rPr>
        <w:t xml:space="preserve"> and increasing active living,</w:t>
      </w:r>
      <w:r w:rsidR="0029000B" w:rsidRPr="00B2525C">
        <w:rPr>
          <w:rFonts w:cs="Arial"/>
        </w:rPr>
        <w:t xml:space="preserve"> </w:t>
      </w:r>
      <w:r w:rsidRPr="00B2525C">
        <w:rPr>
          <w:rFonts w:cs="Arial"/>
        </w:rPr>
        <w:t>among their top priorities</w:t>
      </w:r>
      <w:r w:rsidR="00645990" w:rsidRPr="00B2525C">
        <w:rPr>
          <w:rFonts w:cs="Arial"/>
        </w:rPr>
        <w:t xml:space="preserve"> </w:t>
      </w:r>
      <w:r w:rsidR="00E030BA" w:rsidRPr="00B2525C">
        <w:rPr>
          <w:rFonts w:cs="Arial"/>
        </w:rPr>
        <w:t>(</w:t>
      </w:r>
      <w:r w:rsidR="007F5DE9" w:rsidRPr="00B2525C">
        <w:rPr>
          <w:rFonts w:cs="Arial"/>
        </w:rPr>
        <w:t>Department of Health and Human Services, 2019)</w:t>
      </w:r>
      <w:r w:rsidR="00645990" w:rsidRPr="00B2525C">
        <w:rPr>
          <w:rFonts w:cs="Arial"/>
        </w:rPr>
        <w:t>.</w:t>
      </w:r>
    </w:p>
    <w:p w14:paraId="2CB0B3C6" w14:textId="77777777" w:rsidR="00580686" w:rsidRDefault="00580686" w:rsidP="00580686"/>
    <w:p w14:paraId="33655368" w14:textId="1992B82F" w:rsidR="00DB61AA" w:rsidRDefault="00773623" w:rsidP="007A7AC3">
      <w:pPr>
        <w:pStyle w:val="Heading2"/>
      </w:pPr>
      <w:r w:rsidRPr="00B2525C">
        <w:t>Smoking</w:t>
      </w:r>
    </w:p>
    <w:p w14:paraId="513D9798" w14:textId="77777777" w:rsidR="00794F23" w:rsidRDefault="00794F23" w:rsidP="00794F23"/>
    <w:p w14:paraId="42ED81C1" w14:textId="77777777" w:rsidR="00773623" w:rsidRPr="00B2525C" w:rsidRDefault="00773623" w:rsidP="00794F23">
      <w:r w:rsidRPr="00B2525C">
        <w:t>Tobacco is a highly addictive stimulant that contains nicotine, a substance that is found in cigarettes, cigars</w:t>
      </w:r>
      <w:r w:rsidR="00ED3EC3">
        <w:t>,</w:t>
      </w:r>
      <w:r w:rsidRPr="00B2525C">
        <w:t xml:space="preserve"> pipes (Department of Health</w:t>
      </w:r>
      <w:r w:rsidR="0098444A" w:rsidRPr="00B2525C">
        <w:t xml:space="preserve"> and Human Services</w:t>
      </w:r>
      <w:r w:rsidRPr="00B2525C">
        <w:t>, 2019)</w:t>
      </w:r>
      <w:r w:rsidR="004F69B6" w:rsidRPr="00B2525C">
        <w:t xml:space="preserve"> and vaping devices</w:t>
      </w:r>
      <w:r w:rsidRPr="00B2525C">
        <w:t>. Tobacco smoking is the leading preventable cause of death and disease in Australia and is a risk factor for many chronic conditions such as respiratory diseases, cancer and cardiovascular disease</w:t>
      </w:r>
      <w:r w:rsidR="000933AF" w:rsidRPr="00B2525C">
        <w:t xml:space="preserve">. </w:t>
      </w:r>
      <w:r w:rsidRPr="00B2525C">
        <w:t xml:space="preserve">Smoking not only affects the health of the individual, but also impacts the health of those who live or are in an environment where there is on-going exposure to </w:t>
      </w:r>
      <w:r w:rsidR="00645990" w:rsidRPr="00B2525C">
        <w:t xml:space="preserve">tobacco </w:t>
      </w:r>
      <w:r w:rsidRPr="00B2525C">
        <w:t>smoke. Second-hand smoke is a term that describes the smoke that has come from a burning tobacco product that has been inhaled by someone other than the active smoker. Children who live with parents that are regular smokers and those in certain occupations are some of those who experience a higher rate of second-hand smoking or passive smoking (Better Health Channel, 201</w:t>
      </w:r>
      <w:r w:rsidR="007F5DE9" w:rsidRPr="00B2525C">
        <w:t>9</w:t>
      </w:r>
      <w:r w:rsidRPr="00B2525C">
        <w:t>).</w:t>
      </w:r>
    </w:p>
    <w:p w14:paraId="2C97934B" w14:textId="77777777" w:rsidR="00773623" w:rsidRPr="00B2525C" w:rsidRDefault="00773623" w:rsidP="00794F23"/>
    <w:p w14:paraId="4DFA7757" w14:textId="77777777" w:rsidR="00773623" w:rsidRDefault="00773623" w:rsidP="00773623">
      <w:pPr>
        <w:rPr>
          <w:rFonts w:cs="Arial"/>
        </w:rPr>
      </w:pPr>
      <w:r w:rsidRPr="00B2525C">
        <w:rPr>
          <w:rFonts w:cs="Arial"/>
        </w:rPr>
        <w:t xml:space="preserve">Data from the Victorian Population Health Survey 2017 shows that </w:t>
      </w:r>
      <w:r w:rsidR="00645990" w:rsidRPr="00B2525C">
        <w:rPr>
          <w:rFonts w:cs="Arial"/>
        </w:rPr>
        <w:t xml:space="preserve">among adults aged 18 and older, </w:t>
      </w:r>
      <w:r w:rsidRPr="00B2525C">
        <w:rPr>
          <w:rFonts w:cs="Arial"/>
        </w:rPr>
        <w:t xml:space="preserve">smoking levels in Moonee Valley are similar to those in Western Melbourne and Victoria. About 15 per cent of Moonee Valley </w:t>
      </w:r>
      <w:r w:rsidR="00645990" w:rsidRPr="00B2525C">
        <w:rPr>
          <w:rFonts w:cs="Arial"/>
        </w:rPr>
        <w:t>adults</w:t>
      </w:r>
      <w:r w:rsidRPr="00B2525C">
        <w:rPr>
          <w:rFonts w:cs="Arial"/>
        </w:rPr>
        <w:t xml:space="preserve"> are current smokers. Smoking levels are higher for men (17 per cent), than for women (14 per cent)</w:t>
      </w:r>
      <w:r w:rsidR="00645990" w:rsidRPr="00B2525C">
        <w:rPr>
          <w:rFonts w:cs="Arial"/>
        </w:rPr>
        <w:t>. Approximately sixty percent of adults in Moonee Valley said they were non-smokers.</w:t>
      </w:r>
    </w:p>
    <w:p w14:paraId="1CC12F4E" w14:textId="77777777" w:rsidR="00DB61AA" w:rsidRDefault="00DB61AA" w:rsidP="00773623">
      <w:pPr>
        <w:rPr>
          <w:rFonts w:cs="Arial"/>
        </w:rPr>
      </w:pPr>
    </w:p>
    <w:p w14:paraId="3A408FFD" w14:textId="7A7FA662" w:rsidR="00773623" w:rsidRPr="00B2525C" w:rsidRDefault="000052A8" w:rsidP="00773623">
      <w:pPr>
        <w:rPr>
          <w:rFonts w:cs="Arial"/>
        </w:rPr>
      </w:pPr>
      <w:r w:rsidRPr="00ED3EC3">
        <w:rPr>
          <w:rFonts w:cs="Arial"/>
          <w:b/>
          <w:lang w:val="en-US"/>
        </w:rPr>
        <w:t>Figure</w:t>
      </w:r>
      <w:r w:rsidR="00B93B84">
        <w:rPr>
          <w:rFonts w:cs="Arial"/>
          <w:b/>
          <w:lang w:val="en-US"/>
        </w:rPr>
        <w:t xml:space="preserve"> 18. </w:t>
      </w:r>
      <w:r w:rsidR="00DB61AA" w:rsidRPr="00DB61AA">
        <w:rPr>
          <w:rFonts w:cs="Arial"/>
          <w:lang w:val="en-US"/>
        </w:rPr>
        <w:t>Smoking status</w:t>
      </w:r>
    </w:p>
    <w:p w14:paraId="59E0AFC8" w14:textId="77777777" w:rsidR="00773623" w:rsidRPr="00B2525C" w:rsidRDefault="00773623" w:rsidP="00773623">
      <w:pPr>
        <w:pStyle w:val="NoSpacing"/>
        <w:rPr>
          <w:rFonts w:ascii="Arial" w:hAnsi="Arial" w:cs="Arial"/>
        </w:rPr>
      </w:pPr>
      <w:r w:rsidRPr="00B2525C">
        <w:rPr>
          <w:rFonts w:ascii="Arial" w:hAnsi="Arial" w:cs="Arial"/>
          <w:noProof/>
        </w:rPr>
        <w:drawing>
          <wp:inline distT="0" distB="0" distL="0" distR="0" wp14:anchorId="72AE309A" wp14:editId="1F8B66C7">
            <wp:extent cx="5572125" cy="2743200"/>
            <wp:effectExtent l="0" t="0" r="0" b="0"/>
            <wp:docPr id="109" name="Chart 109">
              <a:extLst xmlns:a="http://schemas.openxmlformats.org/drawingml/2006/main">
                <a:ext uri="{FF2B5EF4-FFF2-40B4-BE49-F238E27FC236}">
                  <a16:creationId xmlns:a16="http://schemas.microsoft.com/office/drawing/2014/main" id="{C70D6C64-F26F-4CE6-8488-C9F54004D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BC46174" w14:textId="77777777" w:rsidR="00773623" w:rsidRPr="00B2525C" w:rsidRDefault="00773623" w:rsidP="00773623">
      <w:pPr>
        <w:pStyle w:val="Caption"/>
        <w:rPr>
          <w:rFonts w:cs="Arial"/>
        </w:rPr>
      </w:pPr>
      <w:r w:rsidRPr="00B2525C">
        <w:rPr>
          <w:rFonts w:cs="Arial"/>
        </w:rPr>
        <w:t>Source: DHHS, Victorian Population Health Survey, 2017</w:t>
      </w:r>
      <w:r w:rsidR="00645990" w:rsidRPr="00B2525C">
        <w:rPr>
          <w:rFonts w:cs="Arial"/>
        </w:rPr>
        <w:t>, adults aged 18 and older</w:t>
      </w:r>
    </w:p>
    <w:p w14:paraId="57DB51CB" w14:textId="77777777" w:rsidR="00773623" w:rsidRPr="00B2525C" w:rsidRDefault="00773623" w:rsidP="00773623">
      <w:pPr>
        <w:pStyle w:val="NoSpacing"/>
        <w:rPr>
          <w:rFonts w:ascii="Arial" w:hAnsi="Arial" w:cs="Arial"/>
        </w:rPr>
      </w:pPr>
    </w:p>
    <w:p w14:paraId="13DDAA7F" w14:textId="77777777" w:rsidR="00083670" w:rsidRPr="00B2525C" w:rsidRDefault="00083670" w:rsidP="00773623">
      <w:pPr>
        <w:pStyle w:val="NoSpacing"/>
        <w:rPr>
          <w:rFonts w:ascii="Arial" w:hAnsi="Arial" w:cs="Arial"/>
        </w:rPr>
      </w:pPr>
    </w:p>
    <w:p w14:paraId="427712A2" w14:textId="77777777" w:rsidR="00773623" w:rsidRDefault="00773623" w:rsidP="007A7AC3">
      <w:pPr>
        <w:pStyle w:val="Heading2"/>
      </w:pPr>
      <w:r w:rsidRPr="00B2525C">
        <w:t>Alcohol and other drugs</w:t>
      </w:r>
    </w:p>
    <w:p w14:paraId="6D12994E" w14:textId="77777777" w:rsidR="00794F23" w:rsidRDefault="00794F23" w:rsidP="00CA1D57">
      <w:pPr>
        <w:rPr>
          <w:rFonts w:cs="Arial"/>
        </w:rPr>
      </w:pPr>
    </w:p>
    <w:p w14:paraId="7D9037F9" w14:textId="77777777" w:rsidR="00773623" w:rsidRPr="00B2525C" w:rsidRDefault="00773623" w:rsidP="00CA1D57">
      <w:pPr>
        <w:rPr>
          <w:rFonts w:cs="Arial"/>
        </w:rPr>
      </w:pPr>
      <w:r w:rsidRPr="00B2525C">
        <w:rPr>
          <w:rFonts w:cs="Arial"/>
        </w:rPr>
        <w:t>Alcohol is a drug that alters the way people think, feel and behave</w:t>
      </w:r>
      <w:r w:rsidR="0098444A" w:rsidRPr="00B2525C">
        <w:rPr>
          <w:rFonts w:cs="Arial"/>
        </w:rPr>
        <w:t>,</w:t>
      </w:r>
      <w:r w:rsidRPr="00B2525C">
        <w:rPr>
          <w:rFonts w:cs="Arial"/>
        </w:rPr>
        <w:t xml:space="preserve"> and is both addictive and a depressant</w:t>
      </w:r>
      <w:r w:rsidR="000A7F4B">
        <w:rPr>
          <w:rFonts w:cs="Arial"/>
        </w:rPr>
        <w:t>.</w:t>
      </w:r>
      <w:r w:rsidRPr="00B2525C">
        <w:rPr>
          <w:rFonts w:cs="Arial"/>
        </w:rPr>
        <w:t xml:space="preserve"> Long term and </w:t>
      </w:r>
      <w:r w:rsidR="00645990" w:rsidRPr="00B2525C">
        <w:rPr>
          <w:rFonts w:cs="Arial"/>
        </w:rPr>
        <w:t>heavy</w:t>
      </w:r>
      <w:r w:rsidRPr="00B2525C">
        <w:rPr>
          <w:rFonts w:cs="Arial"/>
        </w:rPr>
        <w:t xml:space="preserve"> alcohol </w:t>
      </w:r>
      <w:r w:rsidR="00645990" w:rsidRPr="00B2525C">
        <w:rPr>
          <w:rFonts w:cs="Arial"/>
        </w:rPr>
        <w:t xml:space="preserve">drinkers </w:t>
      </w:r>
      <w:r w:rsidRPr="00B2525C">
        <w:rPr>
          <w:rFonts w:cs="Arial"/>
        </w:rPr>
        <w:t>are more likely to develop mental health conditions, diabetes, weight gain, cancers (stomach, bowel, liver, etc.), heart conditions, have liver failure</w:t>
      </w:r>
      <w:r w:rsidR="0098444A" w:rsidRPr="00B2525C">
        <w:rPr>
          <w:rFonts w:cs="Arial"/>
        </w:rPr>
        <w:t>,</w:t>
      </w:r>
      <w:r w:rsidRPr="00B2525C">
        <w:rPr>
          <w:rFonts w:cs="Arial"/>
        </w:rPr>
        <w:t xml:space="preserve"> or sustain an injury while under the influence. Unborn babies are also at risk of health conditions if their mother consumes alcohol whilst pregnant</w:t>
      </w:r>
      <w:r w:rsidR="00D52968" w:rsidRPr="00B2525C">
        <w:rPr>
          <w:rFonts w:cs="Arial"/>
        </w:rPr>
        <w:t xml:space="preserve">. </w:t>
      </w:r>
      <w:r w:rsidRPr="00B2525C">
        <w:rPr>
          <w:rFonts w:cs="Arial"/>
        </w:rPr>
        <w:t xml:space="preserve">Consumption of alcohol can also impact family relationships, exacerbate domestic violence as well as create financial and social stress (Department of Health, 2020). </w:t>
      </w:r>
    </w:p>
    <w:p w14:paraId="20C0485D" w14:textId="77777777" w:rsidR="00CA1D57" w:rsidRPr="00B2525C" w:rsidRDefault="00CA1D57" w:rsidP="00BE2883">
      <w:pPr>
        <w:pStyle w:val="BodyText"/>
      </w:pPr>
    </w:p>
    <w:p w14:paraId="0BA4E9D6" w14:textId="77777777" w:rsidR="00DB61AA" w:rsidRDefault="00773623" w:rsidP="00773623">
      <w:pPr>
        <w:rPr>
          <w:rFonts w:cs="Arial"/>
        </w:rPr>
      </w:pPr>
      <w:r w:rsidRPr="00B2525C">
        <w:rPr>
          <w:rFonts w:cs="Arial"/>
        </w:rPr>
        <w:t>Data from the Victorian Population Health Survey 2017 shows that Moonee Valley residents</w:t>
      </w:r>
      <w:r w:rsidR="00CA1D57" w:rsidRPr="00B2525C">
        <w:rPr>
          <w:rFonts w:cs="Arial"/>
        </w:rPr>
        <w:t xml:space="preserve"> (aged over 18)</w:t>
      </w:r>
      <w:r w:rsidRPr="00B2525C">
        <w:rPr>
          <w:rFonts w:cs="Arial"/>
        </w:rPr>
        <w:t xml:space="preserve"> are more likely to have increased</w:t>
      </w:r>
      <w:r w:rsidR="00CA1D57" w:rsidRPr="00B2525C">
        <w:rPr>
          <w:rFonts w:cs="Arial"/>
        </w:rPr>
        <w:t xml:space="preserve"> levels drinking</w:t>
      </w:r>
      <w:r w:rsidR="000A7F4B">
        <w:rPr>
          <w:rFonts w:cs="Arial"/>
        </w:rPr>
        <w:t xml:space="preserve"> - </w:t>
      </w:r>
      <w:r w:rsidR="00CA1D57" w:rsidRPr="00B2525C">
        <w:rPr>
          <w:rFonts w:cs="Arial"/>
        </w:rPr>
        <w:t xml:space="preserve">referred to as </w:t>
      </w:r>
      <w:r w:rsidRPr="00B2525C">
        <w:rPr>
          <w:rFonts w:cs="Arial"/>
        </w:rPr>
        <w:t xml:space="preserve">alcohol related harm </w:t>
      </w:r>
      <w:r w:rsidR="000A7F4B">
        <w:rPr>
          <w:rFonts w:cs="Arial"/>
        </w:rPr>
        <w:t xml:space="preserve">- </w:t>
      </w:r>
      <w:r w:rsidRPr="00B2525C">
        <w:rPr>
          <w:rFonts w:cs="Arial"/>
        </w:rPr>
        <w:t xml:space="preserve">when compared to Western Melbourne and </w:t>
      </w:r>
      <w:r w:rsidR="007B0DB7" w:rsidRPr="00B2525C">
        <w:rPr>
          <w:rFonts w:cs="Arial"/>
        </w:rPr>
        <w:t xml:space="preserve">the </w:t>
      </w:r>
      <w:r w:rsidRPr="00B2525C">
        <w:rPr>
          <w:rFonts w:cs="Arial"/>
        </w:rPr>
        <w:t>Victoria</w:t>
      </w:r>
      <w:r w:rsidR="007B0DB7" w:rsidRPr="00B2525C">
        <w:rPr>
          <w:rFonts w:cs="Arial"/>
        </w:rPr>
        <w:t>n average</w:t>
      </w:r>
      <w:r w:rsidRPr="00B2525C">
        <w:rPr>
          <w:rFonts w:cs="Arial"/>
        </w:rPr>
        <w:t>. This is true for both lifetime risk of alcohol</w:t>
      </w:r>
      <w:r w:rsidR="000A7F4B">
        <w:rPr>
          <w:rFonts w:cs="Arial"/>
        </w:rPr>
        <w:t xml:space="preserve"> </w:t>
      </w:r>
      <w:r w:rsidRPr="00B2525C">
        <w:rPr>
          <w:rFonts w:cs="Arial"/>
        </w:rPr>
        <w:t>related harm, as well as for alcohol related harm from a single occasion of drinking</w:t>
      </w:r>
      <w:r w:rsidR="000A7F4B">
        <w:rPr>
          <w:rFonts w:cs="Arial"/>
        </w:rPr>
        <w:t>.</w:t>
      </w:r>
    </w:p>
    <w:p w14:paraId="50AB663F" w14:textId="77777777" w:rsidR="00DB61AA" w:rsidRDefault="00DB61AA" w:rsidP="00773623">
      <w:pPr>
        <w:rPr>
          <w:rFonts w:cs="Arial"/>
        </w:rPr>
      </w:pPr>
    </w:p>
    <w:p w14:paraId="5A7E5EDE" w14:textId="7E3EC7BC" w:rsidR="00DB61AA" w:rsidRPr="00DB61AA" w:rsidRDefault="000052A8" w:rsidP="00DB61AA">
      <w:pPr>
        <w:rPr>
          <w:rFonts w:cs="Arial"/>
        </w:rPr>
      </w:pPr>
      <w:r w:rsidRPr="00ED3EC3">
        <w:rPr>
          <w:rFonts w:cs="Arial"/>
          <w:b/>
        </w:rPr>
        <w:t>Figure</w:t>
      </w:r>
      <w:r w:rsidR="00B93B84">
        <w:rPr>
          <w:rFonts w:cs="Arial"/>
          <w:b/>
        </w:rPr>
        <w:t xml:space="preserve"> 19</w:t>
      </w:r>
      <w:r w:rsidR="00B93B84">
        <w:rPr>
          <w:rFonts w:cs="Arial"/>
        </w:rPr>
        <w:t>.</w:t>
      </w:r>
      <w:r w:rsidR="00DB61AA">
        <w:rPr>
          <w:rFonts w:cs="Arial"/>
        </w:rPr>
        <w:t xml:space="preserve"> </w:t>
      </w:r>
      <w:r w:rsidR="00DB61AA" w:rsidRPr="00DB61AA">
        <w:rPr>
          <w:rFonts w:cs="Arial"/>
        </w:rPr>
        <w:t xml:space="preserve">Moonee Valley alcohol consumption at risky </w:t>
      </w:r>
      <w:r w:rsidR="00ED3EC3" w:rsidRPr="00DB61AA">
        <w:rPr>
          <w:rFonts w:cs="Arial"/>
        </w:rPr>
        <w:t>levels</w:t>
      </w:r>
      <w:r w:rsidR="00DB61AA" w:rsidRPr="00DB61AA">
        <w:rPr>
          <w:rFonts w:cs="Arial"/>
        </w:rPr>
        <w:t xml:space="preserve">, compared to </w:t>
      </w:r>
      <w:r w:rsidR="00ED3EC3" w:rsidRPr="00DB61AA">
        <w:rPr>
          <w:rFonts w:cs="Arial"/>
        </w:rPr>
        <w:t>Victoria</w:t>
      </w:r>
      <w:r w:rsidR="00DB61AA" w:rsidRPr="00DB61AA">
        <w:rPr>
          <w:rFonts w:cs="Arial"/>
        </w:rPr>
        <w:t xml:space="preserve"> and Western Melbourne area</w:t>
      </w:r>
    </w:p>
    <w:p w14:paraId="3D0A5EA3" w14:textId="77777777" w:rsidR="00773623" w:rsidRPr="00B2525C" w:rsidRDefault="00773623" w:rsidP="00773623">
      <w:pPr>
        <w:rPr>
          <w:rFonts w:cs="Arial"/>
        </w:rPr>
      </w:pPr>
    </w:p>
    <w:p w14:paraId="51DD73F2" w14:textId="77777777" w:rsidR="00773623" w:rsidRPr="00B2525C" w:rsidRDefault="00773623" w:rsidP="00773623">
      <w:pPr>
        <w:pStyle w:val="NoSpacing"/>
        <w:rPr>
          <w:rFonts w:ascii="Arial" w:hAnsi="Arial" w:cs="Arial"/>
        </w:rPr>
      </w:pPr>
      <w:r w:rsidRPr="00B2525C">
        <w:rPr>
          <w:rFonts w:ascii="Arial" w:hAnsi="Arial" w:cs="Arial"/>
          <w:noProof/>
        </w:rPr>
        <w:drawing>
          <wp:inline distT="0" distB="0" distL="0" distR="0" wp14:anchorId="41F2AA3F" wp14:editId="157A1772">
            <wp:extent cx="5465135" cy="3189767"/>
            <wp:effectExtent l="0" t="0" r="2540" b="0"/>
            <wp:docPr id="111" name="Chart 111">
              <a:extLst xmlns:a="http://schemas.openxmlformats.org/drawingml/2006/main">
                <a:ext uri="{FF2B5EF4-FFF2-40B4-BE49-F238E27FC236}">
                  <a16:creationId xmlns:a16="http://schemas.microsoft.com/office/drawing/2014/main" id="{618F887C-831C-4546-AD9F-09A56C6BF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7B5F7DC" w14:textId="77777777" w:rsidR="00773623" w:rsidRPr="00B2525C" w:rsidRDefault="00773623" w:rsidP="00773623">
      <w:pPr>
        <w:pStyle w:val="Caption"/>
        <w:rPr>
          <w:rFonts w:cs="Arial"/>
        </w:rPr>
      </w:pPr>
      <w:r w:rsidRPr="00B2525C">
        <w:rPr>
          <w:rFonts w:cs="Arial"/>
        </w:rPr>
        <w:t>Source: DHHS, Victorian Population Health Survey, 2017</w:t>
      </w:r>
      <w:r w:rsidR="00CA1D57" w:rsidRPr="00B2525C">
        <w:rPr>
          <w:rFonts w:cs="Arial"/>
        </w:rPr>
        <w:t>, adults aged over 18.</w:t>
      </w:r>
    </w:p>
    <w:p w14:paraId="5AF290CE" w14:textId="77777777" w:rsidR="00773623" w:rsidRPr="00B2525C" w:rsidRDefault="00773623" w:rsidP="00773623">
      <w:pPr>
        <w:rPr>
          <w:rFonts w:cs="Arial"/>
        </w:rPr>
      </w:pPr>
    </w:p>
    <w:p w14:paraId="26AA1F88" w14:textId="77777777" w:rsidR="00D52968" w:rsidRPr="00B2525C" w:rsidRDefault="00D52968" w:rsidP="00BE2883">
      <w:pPr>
        <w:pStyle w:val="BodyText"/>
        <w:rPr>
          <w:position w:val="8"/>
          <w:sz w:val="14"/>
        </w:rPr>
      </w:pPr>
      <w:r w:rsidRPr="00B2525C">
        <w:t>Factors such as how easy it is to obtain alcohol, affordability, social norms, and marketing are associated with the prevalence of alcohol-related harms. Prevention efforts need to take into consideration these multiple factors (Roche et al, 2015).</w:t>
      </w:r>
    </w:p>
    <w:p w14:paraId="67885F13" w14:textId="77777777" w:rsidR="007B0DB7" w:rsidRPr="00B2525C" w:rsidRDefault="007B0DB7" w:rsidP="00773623">
      <w:pPr>
        <w:rPr>
          <w:rStyle w:val="Heading4Char"/>
          <w:rFonts w:cs="Arial"/>
        </w:rPr>
      </w:pPr>
      <w:r w:rsidRPr="00B2525C">
        <w:rPr>
          <w:rStyle w:val="Heading4Char"/>
          <w:rFonts w:cs="Arial"/>
        </w:rPr>
        <w:br w:type="page"/>
      </w:r>
    </w:p>
    <w:p w14:paraId="75B43E5B" w14:textId="77777777" w:rsidR="00D52968" w:rsidRPr="00B2525C" w:rsidRDefault="00CA1D57" w:rsidP="00773623">
      <w:pPr>
        <w:rPr>
          <w:rFonts w:cs="Arial"/>
        </w:rPr>
      </w:pPr>
      <w:r w:rsidRPr="00B2525C">
        <w:rPr>
          <w:rStyle w:val="Heading4Char"/>
          <w:rFonts w:cs="Arial"/>
        </w:rPr>
        <w:lastRenderedPageBreak/>
        <w:t>Access</w:t>
      </w:r>
      <w:r w:rsidR="0029000B" w:rsidRPr="00B2525C">
        <w:rPr>
          <w:rStyle w:val="Heading4Char"/>
          <w:rFonts w:cs="Arial"/>
        </w:rPr>
        <w:t xml:space="preserve"> to alcohol outlets</w:t>
      </w:r>
      <w:r w:rsidRPr="00B2525C">
        <w:rPr>
          <w:rStyle w:val="Heading4Char"/>
          <w:rFonts w:cs="Arial"/>
        </w:rPr>
        <w:t>:</w:t>
      </w:r>
      <w:r w:rsidRPr="00B2525C">
        <w:rPr>
          <w:rFonts w:cs="Arial"/>
        </w:rPr>
        <w:t xml:space="preserve"> </w:t>
      </w:r>
    </w:p>
    <w:p w14:paraId="1EC91CD3" w14:textId="6A4D5007" w:rsidR="00773623" w:rsidRPr="00B2525C" w:rsidRDefault="00773623" w:rsidP="00773623">
      <w:pPr>
        <w:rPr>
          <w:rFonts w:cs="Arial"/>
        </w:rPr>
      </w:pPr>
      <w:r w:rsidRPr="00B2525C">
        <w:rPr>
          <w:rFonts w:cs="Arial"/>
        </w:rPr>
        <w:t>Both on-licence (such as restaurants and pubs) and off-licence (such as bottle shops) alcohol outlets are generally located in activity centres in Moonee Valley. These are most concentrated in the east of the municipality, which also has a higher level of area advantage (indicated by the yellow shading</w:t>
      </w:r>
      <w:r w:rsidR="00B421D0">
        <w:rPr>
          <w:rFonts w:cs="Arial"/>
        </w:rPr>
        <w:t xml:space="preserve"> in Figu</w:t>
      </w:r>
      <w:r w:rsidR="00080F25">
        <w:rPr>
          <w:rFonts w:cs="Arial"/>
        </w:rPr>
        <w:t>r</w:t>
      </w:r>
      <w:r w:rsidR="00B421D0">
        <w:rPr>
          <w:rFonts w:cs="Arial"/>
        </w:rPr>
        <w:t xml:space="preserve">e </w:t>
      </w:r>
      <w:r w:rsidR="00D85242">
        <w:rPr>
          <w:rFonts w:cs="Arial"/>
        </w:rPr>
        <w:t>20</w:t>
      </w:r>
      <w:r w:rsidRPr="00B2525C">
        <w:rPr>
          <w:rFonts w:cs="Arial"/>
        </w:rPr>
        <w:t xml:space="preserve">). There are few </w:t>
      </w:r>
      <w:r w:rsidR="00580686">
        <w:rPr>
          <w:rFonts w:cs="Arial"/>
        </w:rPr>
        <w:t>alcohol</w:t>
      </w:r>
      <w:r w:rsidRPr="00B2525C">
        <w:rPr>
          <w:rFonts w:cs="Arial"/>
        </w:rPr>
        <w:t xml:space="preserve"> outlets in the western part of the municipality.</w:t>
      </w:r>
    </w:p>
    <w:p w14:paraId="2463968F" w14:textId="77777777" w:rsidR="007B0DB7" w:rsidRPr="00B2525C" w:rsidRDefault="007B0DB7" w:rsidP="00773623">
      <w:pPr>
        <w:rPr>
          <w:rFonts w:cs="Arial"/>
        </w:rPr>
      </w:pPr>
    </w:p>
    <w:p w14:paraId="4ECFA802" w14:textId="3EF0D311" w:rsidR="00A41E25" w:rsidRPr="0039503D" w:rsidRDefault="00A41E25" w:rsidP="0039503D">
      <w:pPr>
        <w:pStyle w:val="Caption"/>
        <w:rPr>
          <w:i w:val="0"/>
          <w:noProof/>
          <w:color w:val="auto"/>
          <w:sz w:val="22"/>
          <w:szCs w:val="22"/>
        </w:rPr>
      </w:pPr>
      <w:r w:rsidRPr="0039503D">
        <w:rPr>
          <w:b/>
          <w:i w:val="0"/>
          <w:color w:val="auto"/>
          <w:sz w:val="22"/>
          <w:szCs w:val="22"/>
        </w:rPr>
        <w:t>Figure</w:t>
      </w:r>
      <w:r w:rsidR="00B93B84" w:rsidRPr="0039503D">
        <w:rPr>
          <w:b/>
          <w:i w:val="0"/>
          <w:color w:val="auto"/>
          <w:sz w:val="22"/>
          <w:szCs w:val="22"/>
        </w:rPr>
        <w:t xml:space="preserve"> 20</w:t>
      </w:r>
      <w:r w:rsidR="00B93B84" w:rsidRPr="0039503D">
        <w:rPr>
          <w:i w:val="0"/>
          <w:color w:val="auto"/>
          <w:sz w:val="22"/>
          <w:szCs w:val="22"/>
        </w:rPr>
        <w:t>.</w:t>
      </w:r>
      <w:r w:rsidRPr="0039503D">
        <w:rPr>
          <w:i w:val="0"/>
          <w:color w:val="auto"/>
          <w:sz w:val="22"/>
          <w:szCs w:val="22"/>
        </w:rPr>
        <w:t xml:space="preserve"> </w:t>
      </w:r>
      <w:r w:rsidR="00580686">
        <w:rPr>
          <w:i w:val="0"/>
          <w:color w:val="auto"/>
          <w:sz w:val="22"/>
          <w:szCs w:val="22"/>
        </w:rPr>
        <w:t>A</w:t>
      </w:r>
      <w:r w:rsidRPr="0039503D">
        <w:rPr>
          <w:i w:val="0"/>
          <w:color w:val="auto"/>
          <w:sz w:val="22"/>
          <w:szCs w:val="22"/>
        </w:rPr>
        <w:t>lcohol outlets operating in the Moonee Valley LGA by neighbourhood level disadvantage</w:t>
      </w:r>
    </w:p>
    <w:p w14:paraId="1B939F81" w14:textId="6BDAE80D" w:rsidR="00A058BC" w:rsidRPr="00B2525C" w:rsidRDefault="00A058BC" w:rsidP="00773623">
      <w:pPr>
        <w:rPr>
          <w:rFonts w:cs="Arial"/>
        </w:rPr>
      </w:pPr>
    </w:p>
    <w:p w14:paraId="095ACA25" w14:textId="48052499" w:rsidR="00773623" w:rsidRPr="00B2525C" w:rsidRDefault="00A41E25" w:rsidP="00773623">
      <w:pPr>
        <w:rPr>
          <w:rFonts w:cs="Arial"/>
        </w:rPr>
      </w:pPr>
      <w:r>
        <w:rPr>
          <w:noProof/>
        </w:rPr>
        <w:drawing>
          <wp:inline distT="0" distB="0" distL="0" distR="0" wp14:anchorId="7DD24EEA" wp14:editId="082A6FC2">
            <wp:extent cx="5731510" cy="5731510"/>
            <wp:effectExtent l="0" t="0" r="254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3 Alcohol.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B099C58" w14:textId="77777777" w:rsidR="00CA1D57" w:rsidRPr="00B2525C" w:rsidRDefault="00CA1D57" w:rsidP="00773623">
      <w:pPr>
        <w:rPr>
          <w:rFonts w:cs="Arial"/>
        </w:rPr>
      </w:pPr>
    </w:p>
    <w:p w14:paraId="3ABFD0EF" w14:textId="77777777" w:rsidR="005D1311" w:rsidRPr="00B2525C" w:rsidRDefault="005D1311" w:rsidP="00773623">
      <w:pPr>
        <w:rPr>
          <w:rFonts w:cs="Arial"/>
        </w:rPr>
      </w:pPr>
      <w:r w:rsidRPr="00B2525C">
        <w:rPr>
          <w:rFonts w:cs="Arial"/>
        </w:rPr>
        <w:br w:type="page"/>
      </w:r>
    </w:p>
    <w:p w14:paraId="6BBF2921" w14:textId="77777777" w:rsidR="00773623" w:rsidRDefault="00773623" w:rsidP="00773623">
      <w:pPr>
        <w:rPr>
          <w:rFonts w:cs="Arial"/>
        </w:rPr>
      </w:pPr>
      <w:r w:rsidRPr="00B2525C">
        <w:rPr>
          <w:rFonts w:cs="Arial"/>
        </w:rPr>
        <w:lastRenderedPageBreak/>
        <w:t>Data from Turning Point shows that there were over 600 alcohol related hospital admissions for Moonee Valley residents</w:t>
      </w:r>
      <w:r w:rsidR="00CA1D57" w:rsidRPr="00B2525C">
        <w:rPr>
          <w:rFonts w:cs="Arial"/>
        </w:rPr>
        <w:t xml:space="preserve"> (all ages)</w:t>
      </w:r>
      <w:r w:rsidRPr="00B2525C">
        <w:rPr>
          <w:rFonts w:cs="Arial"/>
        </w:rPr>
        <w:t xml:space="preserve"> in 2018-</w:t>
      </w:r>
      <w:proofErr w:type="gramStart"/>
      <w:r w:rsidRPr="00B2525C">
        <w:rPr>
          <w:rFonts w:cs="Arial"/>
        </w:rPr>
        <w:t>19</w:t>
      </w:r>
      <w:r w:rsidR="00CA1D57" w:rsidRPr="00B2525C">
        <w:rPr>
          <w:rFonts w:cs="Arial"/>
        </w:rPr>
        <w:t xml:space="preserve"> </w:t>
      </w:r>
      <w:r w:rsidRPr="00B2525C">
        <w:rPr>
          <w:rFonts w:cs="Arial"/>
        </w:rPr>
        <w:t>.</w:t>
      </w:r>
      <w:proofErr w:type="gramEnd"/>
      <w:r w:rsidRPr="00B2525C">
        <w:rPr>
          <w:rFonts w:cs="Arial"/>
        </w:rPr>
        <w:t xml:space="preserve"> The majority of these were </w:t>
      </w:r>
      <w:r w:rsidR="005D1311" w:rsidRPr="00B2525C">
        <w:rPr>
          <w:rFonts w:cs="Arial"/>
        </w:rPr>
        <w:t>men</w:t>
      </w:r>
      <w:r w:rsidRPr="00B2525C">
        <w:rPr>
          <w:rFonts w:cs="Arial"/>
        </w:rPr>
        <w:t xml:space="preserve">, who were admitted at twice the rate of </w:t>
      </w:r>
      <w:r w:rsidR="005D1311" w:rsidRPr="00B2525C">
        <w:rPr>
          <w:rFonts w:cs="Arial"/>
        </w:rPr>
        <w:t>women</w:t>
      </w:r>
      <w:r w:rsidR="000A7F4B">
        <w:rPr>
          <w:rFonts w:cs="Arial"/>
        </w:rPr>
        <w:t xml:space="preserve">. </w:t>
      </w:r>
      <w:r w:rsidRPr="00B2525C">
        <w:rPr>
          <w:rFonts w:cs="Arial"/>
        </w:rPr>
        <w:t>For men (but not for women) there has been an increasing trend of alcohol related hospital admissions</w:t>
      </w:r>
      <w:r w:rsidR="005D1311" w:rsidRPr="00B2525C">
        <w:rPr>
          <w:rFonts w:cs="Arial"/>
        </w:rPr>
        <w:t xml:space="preserve"> from 2010 to 2019.</w:t>
      </w:r>
    </w:p>
    <w:p w14:paraId="1F99BBB2" w14:textId="77777777" w:rsidR="00DB61AA" w:rsidRDefault="00DB61AA" w:rsidP="00773623">
      <w:pPr>
        <w:rPr>
          <w:rFonts w:cs="Arial"/>
        </w:rPr>
      </w:pPr>
    </w:p>
    <w:p w14:paraId="67C253EF" w14:textId="4076139F" w:rsidR="00DB61AA" w:rsidRPr="00B2525C" w:rsidRDefault="000052A8" w:rsidP="00773623">
      <w:pPr>
        <w:rPr>
          <w:rFonts w:cs="Arial"/>
        </w:rPr>
      </w:pPr>
      <w:r w:rsidRPr="00ED3EC3">
        <w:rPr>
          <w:rFonts w:cs="Arial"/>
          <w:b/>
        </w:rPr>
        <w:t>Figure</w:t>
      </w:r>
      <w:r w:rsidR="00B93B84">
        <w:rPr>
          <w:rFonts w:cs="Arial"/>
        </w:rPr>
        <w:t xml:space="preserve"> 21. </w:t>
      </w:r>
      <w:r w:rsidR="00DB61AA" w:rsidRPr="00DB61AA">
        <w:rPr>
          <w:rFonts w:cs="Arial"/>
        </w:rPr>
        <w:t>Alcohol hospitalisations by sex, Moonee Valley</w:t>
      </w:r>
    </w:p>
    <w:p w14:paraId="251AE17A" w14:textId="77777777" w:rsidR="00773623" w:rsidRPr="00B2525C" w:rsidRDefault="00435181" w:rsidP="00773623">
      <w:pPr>
        <w:rPr>
          <w:rFonts w:cs="Arial"/>
          <w:noProof/>
        </w:rPr>
      </w:pPr>
      <w:r w:rsidRPr="00B2525C">
        <w:rPr>
          <w:rFonts w:cs="Arial"/>
          <w:noProof/>
        </w:rPr>
        <w:drawing>
          <wp:inline distT="0" distB="0" distL="0" distR="0" wp14:anchorId="286F983B" wp14:editId="5C2FD650">
            <wp:extent cx="5826125" cy="2328530"/>
            <wp:effectExtent l="0" t="0" r="3175" b="15240"/>
            <wp:docPr id="236" name="Chart 236">
              <a:extLst xmlns:a="http://schemas.openxmlformats.org/drawingml/2006/main">
                <a:ext uri="{FF2B5EF4-FFF2-40B4-BE49-F238E27FC236}">
                  <a16:creationId xmlns:a16="http://schemas.microsoft.com/office/drawing/2014/main" id="{3E1AB571-6BFE-4815-8C7A-928E4C8FC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348BD25" w14:textId="77777777" w:rsidR="00435181" w:rsidRPr="00B2525C" w:rsidRDefault="00435181" w:rsidP="00B26C6B">
      <w:pPr>
        <w:pStyle w:val="Caption"/>
        <w:rPr>
          <w:rFonts w:cs="Arial"/>
        </w:rPr>
      </w:pPr>
      <w:r w:rsidRPr="00B2525C">
        <w:rPr>
          <w:rFonts w:cs="Arial"/>
        </w:rPr>
        <w:t xml:space="preserve">Source: Turning Point, </w:t>
      </w:r>
      <w:proofErr w:type="spellStart"/>
      <w:r w:rsidRPr="00B2525C">
        <w:rPr>
          <w:rFonts w:cs="Arial"/>
        </w:rPr>
        <w:t>AODStats</w:t>
      </w:r>
      <w:proofErr w:type="spellEnd"/>
      <w:r w:rsidRPr="00B2525C">
        <w:rPr>
          <w:rFonts w:cs="Arial"/>
        </w:rPr>
        <w:t>, 2020</w:t>
      </w:r>
    </w:p>
    <w:p w14:paraId="688CF447" w14:textId="77777777" w:rsidR="000A7F4B" w:rsidRDefault="000A7F4B" w:rsidP="00B26C6B">
      <w:pPr>
        <w:pStyle w:val="CommentText"/>
        <w:rPr>
          <w:rFonts w:cs="Arial"/>
          <w:sz w:val="22"/>
          <w:szCs w:val="22"/>
        </w:rPr>
      </w:pPr>
    </w:p>
    <w:p w14:paraId="02843EB5" w14:textId="77777777" w:rsidR="00B26C6B" w:rsidRPr="00B26C6B" w:rsidRDefault="00773623" w:rsidP="00B26C6B">
      <w:pPr>
        <w:pStyle w:val="CommentText"/>
        <w:rPr>
          <w:rFonts w:cs="Arial"/>
          <w:sz w:val="22"/>
          <w:szCs w:val="22"/>
        </w:rPr>
      </w:pPr>
      <w:r w:rsidRPr="00B26C6B">
        <w:rPr>
          <w:rFonts w:cs="Arial"/>
          <w:sz w:val="22"/>
          <w:szCs w:val="22"/>
        </w:rPr>
        <w:t>Moonee Valley ha</w:t>
      </w:r>
      <w:r w:rsidR="005D1311" w:rsidRPr="00B26C6B">
        <w:rPr>
          <w:rFonts w:cs="Arial"/>
          <w:sz w:val="22"/>
          <w:szCs w:val="22"/>
        </w:rPr>
        <w:t>d</w:t>
      </w:r>
      <w:r w:rsidRPr="00B26C6B">
        <w:rPr>
          <w:rFonts w:cs="Arial"/>
          <w:sz w:val="22"/>
          <w:szCs w:val="22"/>
        </w:rPr>
        <w:t xml:space="preserve"> a higher rate of alcohol related hospitalisations </w:t>
      </w:r>
      <w:r w:rsidR="005D1311" w:rsidRPr="00B26C6B">
        <w:rPr>
          <w:rFonts w:cs="Arial"/>
          <w:sz w:val="22"/>
          <w:szCs w:val="22"/>
        </w:rPr>
        <w:t xml:space="preserve">per 10,000 population </w:t>
      </w:r>
      <w:r w:rsidRPr="00B26C6B">
        <w:rPr>
          <w:rFonts w:cs="Arial"/>
          <w:sz w:val="22"/>
          <w:szCs w:val="22"/>
        </w:rPr>
        <w:t xml:space="preserve">than many other local government areas in the North West region, </w:t>
      </w:r>
      <w:r w:rsidR="00B26C6B" w:rsidRPr="00B26C6B">
        <w:rPr>
          <w:rFonts w:cs="Arial"/>
          <w:sz w:val="22"/>
          <w:szCs w:val="22"/>
        </w:rPr>
        <w:t>al</w:t>
      </w:r>
      <w:r w:rsidRPr="00B26C6B">
        <w:rPr>
          <w:rFonts w:cs="Arial"/>
          <w:sz w:val="22"/>
          <w:szCs w:val="22"/>
        </w:rPr>
        <w:t>though it is not the highest</w:t>
      </w:r>
      <w:r w:rsidR="00B314C7" w:rsidRPr="00B26C6B">
        <w:rPr>
          <w:rFonts w:cs="Arial"/>
          <w:sz w:val="22"/>
          <w:szCs w:val="22"/>
        </w:rPr>
        <w:t>, as indicated by the faint grey lines</w:t>
      </w:r>
      <w:r w:rsidR="00D52968" w:rsidRPr="00B26C6B">
        <w:rPr>
          <w:rFonts w:cs="Arial"/>
          <w:sz w:val="22"/>
          <w:szCs w:val="22"/>
        </w:rPr>
        <w:t xml:space="preserve"> in the figure below</w:t>
      </w:r>
      <w:r w:rsidR="00B26C6B" w:rsidRPr="00B26C6B">
        <w:rPr>
          <w:rFonts w:cs="Arial"/>
          <w:sz w:val="22"/>
          <w:szCs w:val="22"/>
        </w:rPr>
        <w:t xml:space="preserve">. </w:t>
      </w:r>
      <w:r w:rsidR="00435181" w:rsidRPr="00B26C6B">
        <w:rPr>
          <w:rFonts w:cs="Arial"/>
          <w:sz w:val="22"/>
          <w:szCs w:val="22"/>
        </w:rPr>
        <w:t xml:space="preserve"> </w:t>
      </w:r>
    </w:p>
    <w:p w14:paraId="26666359" w14:textId="77777777" w:rsidR="00B26C6B" w:rsidRPr="00B2525C" w:rsidRDefault="00B26C6B" w:rsidP="00B26C6B">
      <w:pPr>
        <w:pStyle w:val="CommentText"/>
        <w:rPr>
          <w:rFonts w:cs="Arial"/>
        </w:rPr>
      </w:pPr>
    </w:p>
    <w:p w14:paraId="40FE0CA6" w14:textId="0A2D5E56" w:rsidR="00BA0471" w:rsidRPr="00B2525C" w:rsidRDefault="000052A8" w:rsidP="00773623">
      <w:pPr>
        <w:rPr>
          <w:rFonts w:cs="Arial"/>
        </w:rPr>
      </w:pPr>
      <w:r w:rsidRPr="00B26C6B">
        <w:rPr>
          <w:rFonts w:cs="Arial"/>
          <w:b/>
        </w:rPr>
        <w:t>Figure</w:t>
      </w:r>
      <w:r w:rsidR="00B93B84">
        <w:rPr>
          <w:rFonts w:cs="Arial"/>
        </w:rPr>
        <w:t xml:space="preserve"> </w:t>
      </w:r>
      <w:r w:rsidR="00B93B84" w:rsidRPr="0039503D">
        <w:rPr>
          <w:rFonts w:cs="Arial"/>
          <w:b/>
        </w:rPr>
        <w:t>22</w:t>
      </w:r>
      <w:r w:rsidR="00B93B84">
        <w:rPr>
          <w:rFonts w:cs="Arial"/>
        </w:rPr>
        <w:t>.</w:t>
      </w:r>
      <w:r w:rsidR="00DB61AA">
        <w:rPr>
          <w:rFonts w:cs="Arial"/>
        </w:rPr>
        <w:t xml:space="preserve"> </w:t>
      </w:r>
      <w:r w:rsidR="00DB61AA" w:rsidRPr="00DB61AA">
        <w:rPr>
          <w:rFonts w:cs="Arial"/>
        </w:rPr>
        <w:t>Alcohol related hospitalisations per 10,000 people, Moonee Valley compared to other LGAs in North-West Health Region</w:t>
      </w:r>
    </w:p>
    <w:p w14:paraId="6D381970" w14:textId="77777777" w:rsidR="00773623" w:rsidRPr="00B2525C" w:rsidRDefault="00435181" w:rsidP="00773623">
      <w:pPr>
        <w:rPr>
          <w:rFonts w:cs="Arial"/>
        </w:rPr>
      </w:pPr>
      <w:r w:rsidRPr="00B2525C">
        <w:rPr>
          <w:rFonts w:cs="Arial"/>
          <w:noProof/>
        </w:rPr>
        <w:drawing>
          <wp:inline distT="0" distB="0" distL="0" distR="0" wp14:anchorId="323DB4D2" wp14:editId="044EBC80">
            <wp:extent cx="5762847" cy="2668270"/>
            <wp:effectExtent l="0" t="0" r="9525" b="17780"/>
            <wp:docPr id="237" name="Chart 237">
              <a:extLst xmlns:a="http://schemas.openxmlformats.org/drawingml/2006/main">
                <a:ext uri="{FF2B5EF4-FFF2-40B4-BE49-F238E27FC236}">
                  <a16:creationId xmlns:a16="http://schemas.microsoft.com/office/drawing/2014/main" id="{7E2666C6-5ACA-47AB-B6B4-2B41F8141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34D56D" w14:textId="77777777" w:rsidR="00BA0471" w:rsidRPr="00B2525C" w:rsidRDefault="00435181" w:rsidP="00B26C6B">
      <w:pPr>
        <w:pStyle w:val="Caption"/>
        <w:rPr>
          <w:rFonts w:cs="Arial"/>
        </w:rPr>
      </w:pPr>
      <w:r w:rsidRPr="00B2525C">
        <w:rPr>
          <w:rFonts w:cs="Arial"/>
        </w:rPr>
        <w:t xml:space="preserve">Source: Turning Point, </w:t>
      </w:r>
      <w:proofErr w:type="spellStart"/>
      <w:r w:rsidRPr="00B2525C">
        <w:rPr>
          <w:rFonts w:cs="Arial"/>
        </w:rPr>
        <w:t>AODStats</w:t>
      </w:r>
      <w:proofErr w:type="spellEnd"/>
      <w:r w:rsidRPr="00B2525C">
        <w:rPr>
          <w:rFonts w:cs="Arial"/>
        </w:rPr>
        <w:t>, 2020</w:t>
      </w:r>
    </w:p>
    <w:p w14:paraId="31EC7444" w14:textId="77777777" w:rsidR="00773623" w:rsidRPr="00B2525C" w:rsidRDefault="00773623" w:rsidP="00773623">
      <w:pPr>
        <w:pStyle w:val="Heading3"/>
        <w:rPr>
          <w:rFonts w:cs="Arial"/>
        </w:rPr>
      </w:pPr>
      <w:r w:rsidRPr="00B2525C">
        <w:rPr>
          <w:rFonts w:cs="Arial"/>
        </w:rPr>
        <w:lastRenderedPageBreak/>
        <w:t>Drugs</w:t>
      </w:r>
    </w:p>
    <w:p w14:paraId="57351AFC" w14:textId="77777777" w:rsidR="00773623" w:rsidRDefault="00773623" w:rsidP="00773623">
      <w:pPr>
        <w:rPr>
          <w:rFonts w:cs="Arial"/>
        </w:rPr>
      </w:pPr>
      <w:r w:rsidRPr="00B2525C">
        <w:rPr>
          <w:rFonts w:cs="Arial"/>
        </w:rPr>
        <w:t xml:space="preserve">Data from Turning Point shows that there were over 300 illicit drugs related hospital admissions for Moonee Valley residents in 2018-19. </w:t>
      </w:r>
      <w:r w:rsidR="00D52968" w:rsidRPr="00B2525C">
        <w:rPr>
          <w:rFonts w:cs="Arial"/>
        </w:rPr>
        <w:t>Males</w:t>
      </w:r>
      <w:r w:rsidRPr="00B2525C">
        <w:rPr>
          <w:rFonts w:cs="Arial"/>
        </w:rPr>
        <w:t xml:space="preserve"> were 1.6 times more likely to be admitted to hospital than</w:t>
      </w:r>
      <w:r w:rsidR="005D1311" w:rsidRPr="00B2525C">
        <w:rPr>
          <w:rFonts w:cs="Arial"/>
        </w:rPr>
        <w:t xml:space="preserve"> </w:t>
      </w:r>
      <w:r w:rsidR="00D52968" w:rsidRPr="00B2525C">
        <w:rPr>
          <w:rFonts w:cs="Arial"/>
        </w:rPr>
        <w:t>females</w:t>
      </w:r>
      <w:r w:rsidRPr="00B2525C">
        <w:rPr>
          <w:rFonts w:cs="Arial"/>
        </w:rPr>
        <w:t>. Over the period 2010 to 2019 there appear</w:t>
      </w:r>
      <w:r w:rsidR="005D1311" w:rsidRPr="00B2525C">
        <w:rPr>
          <w:rFonts w:cs="Arial"/>
        </w:rPr>
        <w:t>ed</w:t>
      </w:r>
      <w:r w:rsidRPr="00B2525C">
        <w:rPr>
          <w:rFonts w:cs="Arial"/>
        </w:rPr>
        <w:t xml:space="preserve"> to be an increase for both </w:t>
      </w:r>
      <w:r w:rsidR="00D52968" w:rsidRPr="00B2525C">
        <w:rPr>
          <w:rFonts w:cs="Arial"/>
        </w:rPr>
        <w:t>male</w:t>
      </w:r>
      <w:r w:rsidRPr="00B2525C">
        <w:rPr>
          <w:rFonts w:cs="Arial"/>
        </w:rPr>
        <w:t xml:space="preserve"> and </w:t>
      </w:r>
      <w:r w:rsidR="00D52968" w:rsidRPr="00B2525C">
        <w:rPr>
          <w:rFonts w:cs="Arial"/>
        </w:rPr>
        <w:t>female</w:t>
      </w:r>
      <w:r w:rsidRPr="00B2525C">
        <w:rPr>
          <w:rFonts w:cs="Arial"/>
        </w:rPr>
        <w:t xml:space="preserve"> illicit drug related hospital admissions.</w:t>
      </w:r>
    </w:p>
    <w:p w14:paraId="2B591DEC" w14:textId="77777777" w:rsidR="007C4970" w:rsidRDefault="007C4970" w:rsidP="00773623">
      <w:pPr>
        <w:rPr>
          <w:rFonts w:cs="Arial"/>
        </w:rPr>
      </w:pPr>
    </w:p>
    <w:p w14:paraId="14DDC18D" w14:textId="08B58624" w:rsidR="007C4970" w:rsidRPr="00B2525C" w:rsidRDefault="000052A8" w:rsidP="00773623">
      <w:pPr>
        <w:rPr>
          <w:rFonts w:cs="Arial"/>
        </w:rPr>
      </w:pPr>
      <w:r w:rsidRPr="00B26C6B">
        <w:rPr>
          <w:rFonts w:cs="Arial"/>
          <w:b/>
        </w:rPr>
        <w:t>Figure</w:t>
      </w:r>
      <w:r w:rsidR="00B93B84">
        <w:rPr>
          <w:rFonts w:cs="Arial"/>
          <w:b/>
        </w:rPr>
        <w:t xml:space="preserve"> 23</w:t>
      </w:r>
      <w:r w:rsidR="00B93B84">
        <w:rPr>
          <w:rFonts w:cs="Arial"/>
        </w:rPr>
        <w:t xml:space="preserve"> </w:t>
      </w:r>
      <w:r w:rsidR="007C4970" w:rsidRPr="007C4970">
        <w:rPr>
          <w:rFonts w:cs="Arial"/>
        </w:rPr>
        <w:t>Illicit drug related hospitalisations by sex, Moonee Valley</w:t>
      </w:r>
    </w:p>
    <w:p w14:paraId="1A56F765" w14:textId="77777777" w:rsidR="00773623" w:rsidRPr="00B2525C" w:rsidRDefault="00435181" w:rsidP="00773623">
      <w:pPr>
        <w:rPr>
          <w:rFonts w:cs="Arial"/>
        </w:rPr>
      </w:pPr>
      <w:r w:rsidRPr="00B2525C">
        <w:rPr>
          <w:rFonts w:cs="Arial"/>
          <w:noProof/>
        </w:rPr>
        <w:drawing>
          <wp:inline distT="0" distB="0" distL="0" distR="0" wp14:anchorId="5BA236AB" wp14:editId="7918127D">
            <wp:extent cx="5773420" cy="2328530"/>
            <wp:effectExtent l="0" t="0" r="17780" b="15240"/>
            <wp:docPr id="232" name="Chart 232">
              <a:extLst xmlns:a="http://schemas.openxmlformats.org/drawingml/2006/main">
                <a:ext uri="{FF2B5EF4-FFF2-40B4-BE49-F238E27FC236}">
                  <a16:creationId xmlns:a16="http://schemas.microsoft.com/office/drawing/2014/main" id="{DDF01A32-16DC-4C1C-8296-DF0E50066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55DA7E0" w14:textId="77777777" w:rsidR="00435181" w:rsidRPr="00B2525C" w:rsidRDefault="00435181" w:rsidP="00435181">
      <w:pPr>
        <w:pStyle w:val="Caption"/>
        <w:rPr>
          <w:rFonts w:cs="Arial"/>
        </w:rPr>
      </w:pPr>
      <w:r w:rsidRPr="00B2525C">
        <w:rPr>
          <w:rFonts w:cs="Arial"/>
        </w:rPr>
        <w:t xml:space="preserve">Source: Turning Point, </w:t>
      </w:r>
      <w:proofErr w:type="spellStart"/>
      <w:r w:rsidRPr="00B2525C">
        <w:rPr>
          <w:rFonts w:cs="Arial"/>
        </w:rPr>
        <w:t>AODStats</w:t>
      </w:r>
      <w:proofErr w:type="spellEnd"/>
      <w:r w:rsidRPr="00B2525C">
        <w:rPr>
          <w:rFonts w:cs="Arial"/>
        </w:rPr>
        <w:t>, 2020</w:t>
      </w:r>
    </w:p>
    <w:p w14:paraId="44FDE91B" w14:textId="77777777" w:rsidR="005D1311" w:rsidRPr="00B2525C" w:rsidRDefault="005D1311" w:rsidP="00773623">
      <w:pPr>
        <w:rPr>
          <w:rFonts w:cs="Arial"/>
        </w:rPr>
      </w:pPr>
    </w:p>
    <w:p w14:paraId="5BE49B81" w14:textId="77777777" w:rsidR="00773623" w:rsidRDefault="00773623" w:rsidP="00773623">
      <w:pPr>
        <w:rPr>
          <w:rFonts w:cs="Arial"/>
        </w:rPr>
      </w:pPr>
      <w:r w:rsidRPr="00B2525C">
        <w:rPr>
          <w:rFonts w:cs="Arial"/>
        </w:rPr>
        <w:t>Moonee Valley has a higher rate of illicit drugs related hospitalisations than many other local government areas in the North West region</w:t>
      </w:r>
      <w:r w:rsidR="005D1311" w:rsidRPr="00B2525C">
        <w:rPr>
          <w:rFonts w:cs="Arial"/>
        </w:rPr>
        <w:t>. It</w:t>
      </w:r>
      <w:r w:rsidRPr="00B2525C">
        <w:rPr>
          <w:rFonts w:cs="Arial"/>
        </w:rPr>
        <w:t xml:space="preserve"> can also be seen that illicit drug related hospitalisations for both </w:t>
      </w:r>
      <w:r w:rsidR="005D1311" w:rsidRPr="00B2525C">
        <w:rPr>
          <w:rFonts w:cs="Arial"/>
        </w:rPr>
        <w:t>men</w:t>
      </w:r>
      <w:r w:rsidRPr="00B2525C">
        <w:rPr>
          <w:rFonts w:cs="Arial"/>
        </w:rPr>
        <w:t xml:space="preserve"> and </w:t>
      </w:r>
      <w:r w:rsidR="005D1311" w:rsidRPr="00B2525C">
        <w:rPr>
          <w:rFonts w:cs="Arial"/>
        </w:rPr>
        <w:t>women</w:t>
      </w:r>
      <w:r w:rsidRPr="00B2525C">
        <w:rPr>
          <w:rFonts w:cs="Arial"/>
        </w:rPr>
        <w:t xml:space="preserve"> have increased steadily since 2012, more than doubling for </w:t>
      </w:r>
      <w:r w:rsidR="005D1311" w:rsidRPr="00B2525C">
        <w:rPr>
          <w:rFonts w:cs="Arial"/>
        </w:rPr>
        <w:t>men</w:t>
      </w:r>
      <w:r w:rsidRPr="00B2525C">
        <w:rPr>
          <w:rFonts w:cs="Arial"/>
        </w:rPr>
        <w:t xml:space="preserve">, and almost doubling for </w:t>
      </w:r>
      <w:r w:rsidR="005D1311" w:rsidRPr="00B2525C">
        <w:rPr>
          <w:rFonts w:cs="Arial"/>
        </w:rPr>
        <w:t>women</w:t>
      </w:r>
      <w:r w:rsidRPr="00B2525C">
        <w:rPr>
          <w:rFonts w:cs="Arial"/>
        </w:rPr>
        <w:t>.</w:t>
      </w:r>
    </w:p>
    <w:p w14:paraId="6C2E96E0" w14:textId="77777777" w:rsidR="007C4970" w:rsidRDefault="007C4970" w:rsidP="00773623">
      <w:pPr>
        <w:rPr>
          <w:rFonts w:cs="Arial"/>
        </w:rPr>
      </w:pPr>
    </w:p>
    <w:p w14:paraId="525F089C" w14:textId="5507CB39" w:rsidR="00BA0471" w:rsidRPr="00B2525C" w:rsidRDefault="000052A8" w:rsidP="00773623">
      <w:pPr>
        <w:rPr>
          <w:rFonts w:cs="Arial"/>
        </w:rPr>
      </w:pPr>
      <w:r w:rsidRPr="00B26C6B">
        <w:rPr>
          <w:rFonts w:cs="Arial"/>
          <w:b/>
        </w:rPr>
        <w:t>Figure</w:t>
      </w:r>
      <w:r w:rsidR="00B93B84">
        <w:rPr>
          <w:rFonts w:cs="Arial"/>
          <w:b/>
        </w:rPr>
        <w:t xml:space="preserve"> 24</w:t>
      </w:r>
      <w:r w:rsidR="00B93B84">
        <w:rPr>
          <w:rFonts w:cs="Arial"/>
        </w:rPr>
        <w:t>.</w:t>
      </w:r>
      <w:r w:rsidR="007C4970" w:rsidRPr="007C4970">
        <w:rPr>
          <w:rFonts w:eastAsiaTheme="minorEastAsia" w:cs="Circular Std Book"/>
          <w:color w:val="595959"/>
          <w:kern w:val="24"/>
          <w:sz w:val="24"/>
          <w:szCs w:val="24"/>
          <w:lang w:eastAsia="en-AU"/>
          <w14:textFill>
            <w14:solidFill>
              <w14:srgbClr w14:val="595959">
                <w14:lumMod w14:val="65000"/>
                <w14:lumOff w14:val="35000"/>
              </w14:srgbClr>
            </w14:solidFill>
          </w14:textFill>
        </w:rPr>
        <w:t xml:space="preserve"> </w:t>
      </w:r>
      <w:r w:rsidR="007C4970" w:rsidRPr="007C4970">
        <w:rPr>
          <w:rFonts w:cs="Arial"/>
        </w:rPr>
        <w:t>Illicit drug related hospitalisations per 10,000 people, Moonee Valley compared to other LGAs in North-West Health Region</w:t>
      </w:r>
    </w:p>
    <w:p w14:paraId="22DA1E9E" w14:textId="77777777" w:rsidR="00773623" w:rsidRPr="00B2525C" w:rsidRDefault="00435181" w:rsidP="00773623">
      <w:pPr>
        <w:rPr>
          <w:rFonts w:cs="Arial"/>
        </w:rPr>
      </w:pPr>
      <w:r w:rsidRPr="00B2525C">
        <w:rPr>
          <w:rFonts w:cs="Arial"/>
          <w:noProof/>
        </w:rPr>
        <w:drawing>
          <wp:inline distT="0" distB="0" distL="0" distR="0" wp14:anchorId="2B8A337B" wp14:editId="6FE5C914">
            <wp:extent cx="5890437" cy="2477135"/>
            <wp:effectExtent l="0" t="0" r="15240" b="18415"/>
            <wp:docPr id="238" name="Chart 238">
              <a:extLst xmlns:a="http://schemas.openxmlformats.org/drawingml/2006/main">
                <a:ext uri="{FF2B5EF4-FFF2-40B4-BE49-F238E27FC236}">
                  <a16:creationId xmlns:a16="http://schemas.microsoft.com/office/drawing/2014/main" id="{1B901535-EFB6-4220-8592-EAAD3A249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4D553FD" w14:textId="77777777" w:rsidR="00773623" w:rsidRPr="00B2525C" w:rsidRDefault="00883B79" w:rsidP="00B26C6B">
      <w:pPr>
        <w:pStyle w:val="Caption"/>
        <w:rPr>
          <w:rFonts w:cs="Arial"/>
        </w:rPr>
      </w:pPr>
      <w:r w:rsidRPr="00B2525C">
        <w:rPr>
          <w:rFonts w:cs="Arial"/>
        </w:rPr>
        <w:t xml:space="preserve">Source: Turning Point, </w:t>
      </w:r>
      <w:proofErr w:type="spellStart"/>
      <w:r w:rsidRPr="00B2525C">
        <w:rPr>
          <w:rFonts w:cs="Arial"/>
        </w:rPr>
        <w:t>AODStats</w:t>
      </w:r>
      <w:proofErr w:type="spellEnd"/>
      <w:r w:rsidRPr="00B2525C">
        <w:rPr>
          <w:rFonts w:cs="Arial"/>
        </w:rPr>
        <w:t>, 2020</w:t>
      </w:r>
    </w:p>
    <w:p w14:paraId="2703DA6B" w14:textId="77777777" w:rsidR="00773623" w:rsidRPr="00B2525C" w:rsidRDefault="00773623" w:rsidP="007A7AC3">
      <w:pPr>
        <w:pStyle w:val="Heading2"/>
      </w:pPr>
      <w:r w:rsidRPr="00B2525C">
        <w:lastRenderedPageBreak/>
        <w:t>Gambling</w:t>
      </w:r>
    </w:p>
    <w:p w14:paraId="59DEF59D" w14:textId="77777777" w:rsidR="00773623" w:rsidRPr="00B2525C" w:rsidRDefault="00773623" w:rsidP="00773623">
      <w:pPr>
        <w:rPr>
          <w:rFonts w:cs="Arial"/>
        </w:rPr>
      </w:pPr>
      <w:r w:rsidRPr="00B2525C">
        <w:rPr>
          <w:rFonts w:cs="Arial"/>
        </w:rPr>
        <w:t>Gambling harm is any negative consequence that comes from gambling and includes</w:t>
      </w:r>
      <w:r w:rsidR="00D52968" w:rsidRPr="00B2525C">
        <w:rPr>
          <w:rFonts w:cs="Arial"/>
        </w:rPr>
        <w:t xml:space="preserve"> negative consequences such as</w:t>
      </w:r>
      <w:r w:rsidR="000A7F4B">
        <w:rPr>
          <w:rFonts w:cs="Arial"/>
        </w:rPr>
        <w:t>;</w:t>
      </w:r>
      <w:r w:rsidRPr="00B2525C">
        <w:rPr>
          <w:rFonts w:cs="Arial"/>
        </w:rPr>
        <w:t xml:space="preserve"> financial, relationship, health, emotional, work </w:t>
      </w:r>
      <w:r w:rsidR="00D52968" w:rsidRPr="00B2525C">
        <w:rPr>
          <w:rFonts w:cs="Arial"/>
        </w:rPr>
        <w:t>and</w:t>
      </w:r>
      <w:r w:rsidRPr="00B2525C">
        <w:rPr>
          <w:rFonts w:cs="Arial"/>
        </w:rPr>
        <w:t xml:space="preserve"> cultural. Gambling harm can result from a person’s own gambling or someone else’s and leads to poorer health and wellbeing of the individual</w:t>
      </w:r>
      <w:r w:rsidR="00D52968" w:rsidRPr="00B2525C">
        <w:rPr>
          <w:rFonts w:cs="Arial"/>
        </w:rPr>
        <w:t xml:space="preserve"> and</w:t>
      </w:r>
      <w:r w:rsidRPr="00B2525C">
        <w:rPr>
          <w:rFonts w:cs="Arial"/>
        </w:rPr>
        <w:t xml:space="preserve"> family (Victorian Responsible Gambling Foundation, 2020). </w:t>
      </w:r>
    </w:p>
    <w:p w14:paraId="59817175" w14:textId="77777777" w:rsidR="00773623" w:rsidRPr="00B2525C" w:rsidRDefault="00773623" w:rsidP="00773623">
      <w:pPr>
        <w:rPr>
          <w:rFonts w:cs="Arial"/>
        </w:rPr>
      </w:pPr>
    </w:p>
    <w:p w14:paraId="55EA8525" w14:textId="77777777" w:rsidR="00773623" w:rsidRDefault="00773623" w:rsidP="00773623">
      <w:pPr>
        <w:rPr>
          <w:rFonts w:cs="Arial"/>
        </w:rPr>
      </w:pPr>
      <w:r w:rsidRPr="00B2525C">
        <w:rPr>
          <w:rFonts w:cs="Arial"/>
        </w:rPr>
        <w:t>Data from the Victorian Responsible Gambling Foundation shows that over $77.6 million was spent on pokies in Moonee Valley in 2018-19, equating to $212,742 per day across 11 venues with pokies.</w:t>
      </w:r>
    </w:p>
    <w:p w14:paraId="2102CF02" w14:textId="77777777" w:rsidR="00776545" w:rsidRDefault="00776545" w:rsidP="00773623">
      <w:pPr>
        <w:rPr>
          <w:rFonts w:cs="Arial"/>
        </w:rPr>
      </w:pPr>
    </w:p>
    <w:p w14:paraId="03CC4F28" w14:textId="13B6672F" w:rsidR="00776545" w:rsidRPr="00B2525C" w:rsidRDefault="00776545" w:rsidP="00773623">
      <w:pPr>
        <w:rPr>
          <w:rFonts w:cs="Arial"/>
        </w:rPr>
      </w:pPr>
      <w:r w:rsidRPr="00776545">
        <w:rPr>
          <w:rFonts w:cs="Arial"/>
          <w:b/>
        </w:rPr>
        <w:t>Figure</w:t>
      </w:r>
      <w:r w:rsidR="00B93B84">
        <w:rPr>
          <w:rFonts w:cs="Arial"/>
          <w:b/>
        </w:rPr>
        <w:t xml:space="preserve"> 25</w:t>
      </w:r>
      <w:r w:rsidR="00B93B84">
        <w:rPr>
          <w:rFonts w:cs="Arial"/>
        </w:rPr>
        <w:t>.</w:t>
      </w:r>
      <w:r>
        <w:rPr>
          <w:rFonts w:cs="Arial"/>
        </w:rPr>
        <w:t xml:space="preserve"> Moonee Valley gambling summary</w:t>
      </w:r>
    </w:p>
    <w:p w14:paraId="50055353" w14:textId="77777777" w:rsidR="00773623" w:rsidRPr="00B2525C" w:rsidRDefault="00773623" w:rsidP="00773623">
      <w:pPr>
        <w:rPr>
          <w:rFonts w:cs="Arial"/>
        </w:rPr>
      </w:pPr>
      <w:r w:rsidRPr="00B2525C">
        <w:rPr>
          <w:rFonts w:cs="Arial"/>
          <w:noProof/>
        </w:rPr>
        <w:drawing>
          <wp:inline distT="0" distB="0" distL="0" distR="0" wp14:anchorId="5D5FE479" wp14:editId="42CCD87D">
            <wp:extent cx="5727700" cy="4905563"/>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0" name="Picture" descr="images/gambling-in-victoria-moonee-valley.png"/>
                    <pic:cNvPicPr>
                      <a:picLocks noChangeAspect="1" noChangeArrowheads="1"/>
                    </pic:cNvPicPr>
                  </pic:nvPicPr>
                  <pic:blipFill>
                    <a:blip r:embed="rId51"/>
                    <a:stretch>
                      <a:fillRect/>
                    </a:stretch>
                  </pic:blipFill>
                  <pic:spPr bwMode="auto">
                    <a:xfrm>
                      <a:off x="0" y="0"/>
                      <a:ext cx="5727700" cy="4905563"/>
                    </a:xfrm>
                    <a:prstGeom prst="rect">
                      <a:avLst/>
                    </a:prstGeom>
                    <a:noFill/>
                    <a:ln w="9525">
                      <a:noFill/>
                      <a:headEnd/>
                      <a:tailEnd/>
                    </a:ln>
                  </pic:spPr>
                </pic:pic>
              </a:graphicData>
            </a:graphic>
          </wp:inline>
        </w:drawing>
      </w:r>
    </w:p>
    <w:p w14:paraId="775A6DEB" w14:textId="77777777" w:rsidR="00773623" w:rsidRPr="00B2525C" w:rsidRDefault="00773623" w:rsidP="00773623">
      <w:pPr>
        <w:rPr>
          <w:rFonts w:cs="Arial"/>
        </w:rPr>
      </w:pPr>
    </w:p>
    <w:p w14:paraId="6337B73F" w14:textId="77777777" w:rsidR="00B26C6B" w:rsidRDefault="00B26C6B" w:rsidP="00773623">
      <w:pPr>
        <w:rPr>
          <w:rFonts w:cs="Arial"/>
        </w:rPr>
      </w:pPr>
    </w:p>
    <w:p w14:paraId="6B7DD4DC" w14:textId="77777777" w:rsidR="00B26C6B" w:rsidRDefault="00B26C6B" w:rsidP="00773623">
      <w:pPr>
        <w:rPr>
          <w:rFonts w:cs="Arial"/>
        </w:rPr>
      </w:pPr>
    </w:p>
    <w:p w14:paraId="555BE81E" w14:textId="77777777" w:rsidR="00B26C6B" w:rsidRDefault="00B26C6B" w:rsidP="00773623">
      <w:pPr>
        <w:rPr>
          <w:rFonts w:cs="Arial"/>
        </w:rPr>
      </w:pPr>
    </w:p>
    <w:p w14:paraId="41E4ABD4" w14:textId="602BEE06" w:rsidR="00773623" w:rsidRDefault="00773623" w:rsidP="00773623">
      <w:pPr>
        <w:rPr>
          <w:rFonts w:cs="Arial"/>
        </w:rPr>
      </w:pPr>
      <w:r w:rsidRPr="00B2525C">
        <w:rPr>
          <w:rFonts w:cs="Arial"/>
        </w:rPr>
        <w:lastRenderedPageBreak/>
        <w:t xml:space="preserve">In a usual year, almost $80 million is lost through pokies in the City of Moonee Valley. However, this figure was $58 million in the 2019-20 financial year as pokies venues have been closed temporarily </w:t>
      </w:r>
      <w:r w:rsidR="00DF3412">
        <w:rPr>
          <w:rFonts w:cs="Arial"/>
        </w:rPr>
        <w:t>in lockdowns</w:t>
      </w:r>
      <w:r w:rsidRPr="00B2525C">
        <w:rPr>
          <w:rFonts w:cs="Arial"/>
        </w:rPr>
        <w:t>.</w:t>
      </w:r>
    </w:p>
    <w:p w14:paraId="7CA0B130" w14:textId="77777777" w:rsidR="007C4970" w:rsidRDefault="007C4970" w:rsidP="00773623">
      <w:pPr>
        <w:rPr>
          <w:rFonts w:cs="Arial"/>
        </w:rPr>
      </w:pPr>
    </w:p>
    <w:p w14:paraId="3BBA8216" w14:textId="18D058C2" w:rsidR="007C4970" w:rsidRPr="007C4970" w:rsidRDefault="000052A8" w:rsidP="007C4970">
      <w:pPr>
        <w:rPr>
          <w:rFonts w:cs="Arial"/>
        </w:rPr>
      </w:pPr>
      <w:r w:rsidRPr="00B26C6B">
        <w:rPr>
          <w:rFonts w:cs="Arial"/>
          <w:b/>
        </w:rPr>
        <w:t>Figure</w:t>
      </w:r>
      <w:r w:rsidR="00B93B84">
        <w:rPr>
          <w:rFonts w:cs="Arial"/>
          <w:b/>
        </w:rPr>
        <w:t xml:space="preserve"> 26</w:t>
      </w:r>
      <w:r w:rsidR="00B93B84">
        <w:rPr>
          <w:rFonts w:cs="Arial"/>
        </w:rPr>
        <w:t>.</w:t>
      </w:r>
      <w:r w:rsidR="007C4970" w:rsidRPr="007C4970">
        <w:rPr>
          <w:rFonts w:eastAsiaTheme="minorEastAsia" w:cs="Circular Std Book"/>
          <w:color w:val="595959"/>
          <w:kern w:val="24"/>
          <w:sz w:val="24"/>
          <w:szCs w:val="24"/>
          <w:lang w:eastAsia="en-AU"/>
          <w14:textFill>
            <w14:solidFill>
              <w14:srgbClr w14:val="595959">
                <w14:lumMod w14:val="65000"/>
                <w14:lumOff w14:val="35000"/>
              </w14:srgbClr>
            </w14:solidFill>
          </w14:textFill>
        </w:rPr>
        <w:t xml:space="preserve"> </w:t>
      </w:r>
      <w:r w:rsidR="007C4970" w:rsidRPr="007C4970">
        <w:rPr>
          <w:rFonts w:cs="Arial"/>
        </w:rPr>
        <w:t>Expenditure on electronic gaming machines (pokies) in Moonee Valley</w:t>
      </w:r>
    </w:p>
    <w:p w14:paraId="7D1D655F" w14:textId="77777777" w:rsidR="007C4970" w:rsidRPr="00B2525C" w:rsidRDefault="007C4970" w:rsidP="00773623">
      <w:pPr>
        <w:rPr>
          <w:rFonts w:cs="Arial"/>
        </w:rPr>
      </w:pPr>
    </w:p>
    <w:p w14:paraId="6BC6F67A" w14:textId="77777777" w:rsidR="00773623" w:rsidRPr="00B2525C" w:rsidRDefault="00883B79" w:rsidP="00773623">
      <w:pPr>
        <w:rPr>
          <w:rFonts w:cs="Arial"/>
          <w:noProof/>
        </w:rPr>
      </w:pPr>
      <w:r w:rsidRPr="00B2525C">
        <w:rPr>
          <w:rFonts w:cs="Arial"/>
          <w:noProof/>
        </w:rPr>
        <w:drawing>
          <wp:inline distT="0" distB="0" distL="0" distR="0" wp14:anchorId="479A07C7" wp14:editId="7B294B5C">
            <wp:extent cx="5868670" cy="2371060"/>
            <wp:effectExtent l="0" t="0" r="17780" b="10795"/>
            <wp:docPr id="241" name="Chart 241">
              <a:extLst xmlns:a="http://schemas.openxmlformats.org/drawingml/2006/main">
                <a:ext uri="{FF2B5EF4-FFF2-40B4-BE49-F238E27FC236}">
                  <a16:creationId xmlns:a16="http://schemas.microsoft.com/office/drawing/2014/main" id="{767654A4-3ED3-42E3-B1AA-E960744A9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EAA805" w14:textId="77777777" w:rsidR="00883B79" w:rsidRPr="00B2525C" w:rsidRDefault="00883B79" w:rsidP="00883B79">
      <w:pPr>
        <w:pStyle w:val="Caption"/>
        <w:rPr>
          <w:rFonts w:cs="Arial"/>
        </w:rPr>
      </w:pPr>
      <w:r w:rsidRPr="00B2525C">
        <w:rPr>
          <w:rFonts w:cs="Arial"/>
        </w:rPr>
        <w:t>Source: Victorian Commission for Gambling and Liquor Regulation, 2020</w:t>
      </w:r>
    </w:p>
    <w:p w14:paraId="273CB1D7" w14:textId="77777777" w:rsidR="00883B79" w:rsidRPr="00B2525C" w:rsidRDefault="00883B79" w:rsidP="00773623">
      <w:pPr>
        <w:rPr>
          <w:rFonts w:cs="Arial"/>
        </w:rPr>
      </w:pPr>
    </w:p>
    <w:p w14:paraId="5E7F5FC4" w14:textId="77777777" w:rsidR="000E776E" w:rsidRPr="00B2525C" w:rsidRDefault="000E776E" w:rsidP="00773623">
      <w:pPr>
        <w:rPr>
          <w:rFonts w:cs="Arial"/>
        </w:rPr>
      </w:pPr>
    </w:p>
    <w:p w14:paraId="5789DA2A" w14:textId="77777777" w:rsidR="000E776E" w:rsidRPr="00B2525C" w:rsidRDefault="000E776E" w:rsidP="00773623">
      <w:pPr>
        <w:rPr>
          <w:rFonts w:cs="Arial"/>
        </w:rPr>
      </w:pPr>
      <w:r w:rsidRPr="00B2525C">
        <w:rPr>
          <w:rFonts w:cs="Arial"/>
        </w:rPr>
        <w:br w:type="page"/>
      </w:r>
    </w:p>
    <w:p w14:paraId="5E834FAD" w14:textId="77777777" w:rsidR="00773623" w:rsidRPr="00B2525C" w:rsidRDefault="00773623" w:rsidP="00773623">
      <w:pPr>
        <w:rPr>
          <w:rFonts w:cs="Arial"/>
        </w:rPr>
      </w:pPr>
      <w:r w:rsidRPr="00B2525C">
        <w:rPr>
          <w:rFonts w:cs="Arial"/>
        </w:rPr>
        <w:lastRenderedPageBreak/>
        <w:t>When looking at the distribution of Electronic Gaming Machines (EGMs) in Moonee Valley, they are concentrated in the east of the municipality (mostly in Moonee Ponds and Essendon</w:t>
      </w:r>
      <w:r w:rsidR="00BA0471" w:rsidRPr="00B2525C">
        <w:rPr>
          <w:rFonts w:cs="Arial"/>
        </w:rPr>
        <w:t xml:space="preserve">) </w:t>
      </w:r>
      <w:proofErr w:type="gramStart"/>
      <w:r w:rsidR="00BA0471" w:rsidRPr="00B2525C">
        <w:rPr>
          <w:rFonts w:cs="Arial"/>
        </w:rPr>
        <w:t xml:space="preserve">- </w:t>
      </w:r>
      <w:r w:rsidRPr="00B2525C">
        <w:rPr>
          <w:rFonts w:cs="Arial"/>
        </w:rPr>
        <w:t xml:space="preserve"> areas</w:t>
      </w:r>
      <w:proofErr w:type="gramEnd"/>
      <w:r w:rsidRPr="00B2525C">
        <w:rPr>
          <w:rFonts w:cs="Arial"/>
        </w:rPr>
        <w:t xml:space="preserve"> of higher neighbourhood </w:t>
      </w:r>
      <w:r w:rsidR="00D52968" w:rsidRPr="00B2525C">
        <w:rPr>
          <w:rFonts w:cs="Arial"/>
        </w:rPr>
        <w:t xml:space="preserve">socio-economic </w:t>
      </w:r>
      <w:r w:rsidRPr="00B2525C">
        <w:rPr>
          <w:rFonts w:cs="Arial"/>
        </w:rPr>
        <w:t>advantage</w:t>
      </w:r>
      <w:r w:rsidR="00D52968" w:rsidRPr="00B2525C">
        <w:rPr>
          <w:rFonts w:cs="Arial"/>
        </w:rPr>
        <w:t xml:space="preserve"> (i.e. IRSD)</w:t>
      </w:r>
      <w:r w:rsidRPr="00B2525C">
        <w:rPr>
          <w:rFonts w:cs="Arial"/>
        </w:rPr>
        <w:t>.</w:t>
      </w:r>
    </w:p>
    <w:p w14:paraId="6E94988E" w14:textId="77777777" w:rsidR="00773623" w:rsidRPr="00B2525C" w:rsidRDefault="00773623" w:rsidP="00773623">
      <w:pPr>
        <w:rPr>
          <w:rFonts w:cs="Arial"/>
        </w:rPr>
      </w:pPr>
    </w:p>
    <w:p w14:paraId="55AD7153" w14:textId="6581E7B5" w:rsidR="009D1B64" w:rsidRPr="00B2525C" w:rsidRDefault="000052A8" w:rsidP="00773623">
      <w:pPr>
        <w:rPr>
          <w:rFonts w:cs="Arial"/>
        </w:rPr>
      </w:pPr>
      <w:r>
        <w:rPr>
          <w:rFonts w:cs="Arial"/>
        </w:rPr>
        <w:t>Figure</w:t>
      </w:r>
      <w:r w:rsidR="00B93B84">
        <w:rPr>
          <w:rFonts w:cs="Arial"/>
        </w:rPr>
        <w:t xml:space="preserve"> 27. </w:t>
      </w:r>
      <w:r w:rsidR="007C4970">
        <w:rPr>
          <w:rFonts w:cs="Arial"/>
        </w:rPr>
        <w:t xml:space="preserve"> </w:t>
      </w:r>
      <w:r w:rsidR="00A41E25">
        <w:rPr>
          <w:rFonts w:cs="Arial"/>
        </w:rPr>
        <w:t xml:space="preserve">Number of </w:t>
      </w:r>
      <w:r w:rsidR="009D1B64" w:rsidRPr="00B2525C">
        <w:rPr>
          <w:rFonts w:cs="Arial"/>
        </w:rPr>
        <w:t>Electronic Gaming Machines and neighbourhood-level socioeconomic disadvantage</w:t>
      </w:r>
    </w:p>
    <w:p w14:paraId="79E17329" w14:textId="0859CE63" w:rsidR="00773623" w:rsidRPr="00B2525C" w:rsidRDefault="00A41E25" w:rsidP="00773623">
      <w:pPr>
        <w:rPr>
          <w:rFonts w:cs="Arial"/>
        </w:rPr>
      </w:pPr>
      <w:r>
        <w:rPr>
          <w:noProof/>
        </w:rPr>
        <w:drawing>
          <wp:inline distT="0" distB="0" distL="0" distR="0" wp14:anchorId="6186D231" wp14:editId="0C3A7B32">
            <wp:extent cx="5731510" cy="573151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4 Pokies.png"/>
                    <pic:cNvPicPr/>
                  </pic:nvPicPr>
                  <pic:blipFill>
                    <a:blip r:embed="rId53">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90BEF51" w14:textId="77777777" w:rsidR="00773623" w:rsidRPr="00B2525C" w:rsidRDefault="00773623" w:rsidP="00773623">
      <w:pPr>
        <w:rPr>
          <w:rFonts w:cs="Arial"/>
        </w:rPr>
      </w:pPr>
    </w:p>
    <w:p w14:paraId="39E8E758" w14:textId="77777777" w:rsidR="00BA0471" w:rsidRPr="00B2525C" w:rsidRDefault="00BA0471" w:rsidP="00773623">
      <w:pPr>
        <w:pStyle w:val="Heading3"/>
        <w:rPr>
          <w:rFonts w:cs="Arial"/>
        </w:rPr>
      </w:pPr>
      <w:r w:rsidRPr="00B2525C">
        <w:rPr>
          <w:rFonts w:cs="Arial"/>
        </w:rPr>
        <w:br w:type="page"/>
      </w:r>
    </w:p>
    <w:p w14:paraId="36FFEA8B" w14:textId="77777777" w:rsidR="00773623" w:rsidRPr="00B2525C" w:rsidRDefault="00773623" w:rsidP="007A7AC3">
      <w:pPr>
        <w:pStyle w:val="Heading2"/>
      </w:pPr>
      <w:r w:rsidRPr="00B2525C">
        <w:lastRenderedPageBreak/>
        <w:t>Physical activity</w:t>
      </w:r>
    </w:p>
    <w:p w14:paraId="12D5AC97" w14:textId="77777777" w:rsidR="000A7F4B" w:rsidRDefault="000A7F4B" w:rsidP="00773623">
      <w:pPr>
        <w:rPr>
          <w:rFonts w:cs="Arial"/>
        </w:rPr>
      </w:pPr>
    </w:p>
    <w:p w14:paraId="2A4AEB62" w14:textId="77777777" w:rsidR="00773623" w:rsidRDefault="00773623" w:rsidP="00773623">
      <w:pPr>
        <w:rPr>
          <w:rFonts w:cs="Arial"/>
        </w:rPr>
      </w:pPr>
      <w:r w:rsidRPr="00B2525C">
        <w:rPr>
          <w:rFonts w:cs="Arial"/>
        </w:rPr>
        <w:t xml:space="preserve">Regular physical activity is important for optimal health and wellbeing, reducing the risk of many </w:t>
      </w:r>
      <w:r w:rsidR="000E776E" w:rsidRPr="00B2525C">
        <w:rPr>
          <w:rFonts w:cs="Arial"/>
        </w:rPr>
        <w:t xml:space="preserve">health </w:t>
      </w:r>
      <w:r w:rsidRPr="00B2525C">
        <w:rPr>
          <w:rFonts w:cs="Arial"/>
        </w:rPr>
        <w:t>conditions such as cardiovascular disease and type 2 diabetes</w:t>
      </w:r>
      <w:r w:rsidR="0029000B" w:rsidRPr="00B2525C">
        <w:rPr>
          <w:rFonts w:cs="Arial"/>
        </w:rPr>
        <w:t xml:space="preserve">. </w:t>
      </w:r>
      <w:r w:rsidRPr="00B2525C">
        <w:rPr>
          <w:rFonts w:cs="Arial"/>
        </w:rPr>
        <w:t>Physical activity enables people to recover from injuries and illnesses, and has been found to address mental health issues such as depression</w:t>
      </w:r>
      <w:r w:rsidR="00D52968" w:rsidRPr="00B2525C">
        <w:rPr>
          <w:rFonts w:cs="Arial"/>
        </w:rPr>
        <w:t xml:space="preserve"> (Better Health Channel, 2018)</w:t>
      </w:r>
      <w:r w:rsidRPr="00B2525C">
        <w:rPr>
          <w:rFonts w:cs="Arial"/>
        </w:rPr>
        <w:t>.</w:t>
      </w:r>
      <w:r w:rsidR="009D1B64" w:rsidRPr="00B2525C">
        <w:rPr>
          <w:rFonts w:cs="Arial"/>
        </w:rPr>
        <w:t xml:space="preserve"> </w:t>
      </w:r>
      <w:r w:rsidRPr="00B2525C">
        <w:rPr>
          <w:rFonts w:cs="Arial"/>
        </w:rPr>
        <w:t>Increasing levels of physical activity among older people can prevent falls and improve cognitive function.</w:t>
      </w:r>
    </w:p>
    <w:p w14:paraId="1734CFDE" w14:textId="77777777" w:rsidR="00B26C6B" w:rsidRPr="00B2525C" w:rsidRDefault="00B26C6B" w:rsidP="00773623">
      <w:pPr>
        <w:rPr>
          <w:rFonts w:cs="Arial"/>
        </w:rPr>
      </w:pPr>
    </w:p>
    <w:p w14:paraId="60173324" w14:textId="77777777" w:rsidR="00773623" w:rsidRDefault="00773623" w:rsidP="00773623">
      <w:pPr>
        <w:rPr>
          <w:rFonts w:cs="Arial"/>
        </w:rPr>
      </w:pPr>
      <w:r w:rsidRPr="00B2525C">
        <w:rPr>
          <w:rFonts w:cs="Arial"/>
        </w:rPr>
        <w:t>Data from the Victorian Population Health Survey 2017 shows that approximately 58 per cent of Moonee Valley residents complied with physical activity recommendations, compared to 48.5 per cent in the Western Melbourne Area.</w:t>
      </w:r>
    </w:p>
    <w:p w14:paraId="7511CE75" w14:textId="77777777" w:rsidR="007C4970" w:rsidRDefault="007C4970" w:rsidP="00773623">
      <w:pPr>
        <w:rPr>
          <w:rFonts w:cs="Arial"/>
        </w:rPr>
      </w:pPr>
    </w:p>
    <w:p w14:paraId="472A4B4D" w14:textId="00B06A2E" w:rsidR="007C4970" w:rsidRPr="007C4970" w:rsidRDefault="000052A8" w:rsidP="007C4970">
      <w:pPr>
        <w:rPr>
          <w:rFonts w:cs="Arial"/>
        </w:rPr>
      </w:pPr>
      <w:r w:rsidRPr="003331B5">
        <w:rPr>
          <w:rFonts w:cs="Arial"/>
          <w:b/>
          <w:lang w:val="en-US"/>
        </w:rPr>
        <w:t>Figure</w:t>
      </w:r>
      <w:r w:rsidR="00B93B84">
        <w:rPr>
          <w:rFonts w:cs="Arial"/>
          <w:b/>
          <w:lang w:val="en-US"/>
        </w:rPr>
        <w:t xml:space="preserve"> 28.</w:t>
      </w:r>
      <w:r w:rsidR="007C4970">
        <w:rPr>
          <w:rFonts w:cs="Arial"/>
          <w:lang w:val="en-US"/>
        </w:rPr>
        <w:t xml:space="preserve"> </w:t>
      </w:r>
      <w:r w:rsidR="00776545">
        <w:rPr>
          <w:rFonts w:cs="Arial"/>
          <w:lang w:val="en-US"/>
        </w:rPr>
        <w:t xml:space="preserve">Met physical </w:t>
      </w:r>
      <w:r w:rsidR="007C4970" w:rsidRPr="007C4970">
        <w:rPr>
          <w:rFonts w:cs="Arial"/>
          <w:lang w:val="en-US"/>
        </w:rPr>
        <w:t>activity</w:t>
      </w:r>
      <w:r w:rsidR="00776545">
        <w:rPr>
          <w:rFonts w:cs="Arial"/>
          <w:lang w:val="en-US"/>
        </w:rPr>
        <w:t xml:space="preserve"> </w:t>
      </w:r>
      <w:r w:rsidR="003331B5">
        <w:rPr>
          <w:rFonts w:cs="Arial"/>
          <w:lang w:val="en-US"/>
        </w:rPr>
        <w:t>guideline</w:t>
      </w:r>
      <w:r w:rsidR="007C4970" w:rsidRPr="007C4970">
        <w:rPr>
          <w:rFonts w:cs="Arial"/>
          <w:lang w:val="en-US"/>
        </w:rPr>
        <w:t xml:space="preserve"> in Moonee Valley compared to Victoria and Western Melbourne Area</w:t>
      </w:r>
    </w:p>
    <w:p w14:paraId="3C9798EC" w14:textId="77777777" w:rsidR="00773623" w:rsidRPr="000A7F4B" w:rsidRDefault="00776545" w:rsidP="000A7F4B">
      <w:pPr>
        <w:rPr>
          <w:rFonts w:cs="Arial"/>
        </w:rPr>
      </w:pPr>
      <w:r>
        <w:rPr>
          <w:noProof/>
        </w:rPr>
        <w:drawing>
          <wp:inline distT="0" distB="0" distL="0" distR="0" wp14:anchorId="74907615" wp14:editId="650F04F4">
            <wp:extent cx="5820355" cy="2743200"/>
            <wp:effectExtent l="0" t="0" r="9525" b="0"/>
            <wp:docPr id="2" name="Chart 2">
              <a:extLst xmlns:a="http://schemas.openxmlformats.org/drawingml/2006/main">
                <a:ext uri="{FF2B5EF4-FFF2-40B4-BE49-F238E27FC236}">
                  <a16:creationId xmlns:a16="http://schemas.microsoft.com/office/drawing/2014/main" id="{82D4AEC2-5DC2-40DA-8B64-9DD646516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ED2684F" w14:textId="77777777" w:rsidR="00773623" w:rsidRPr="00B2525C" w:rsidRDefault="00773623" w:rsidP="00773623">
      <w:pPr>
        <w:pStyle w:val="Caption"/>
        <w:rPr>
          <w:rFonts w:cs="Arial"/>
        </w:rPr>
      </w:pPr>
      <w:r w:rsidRPr="00B2525C">
        <w:rPr>
          <w:rFonts w:cs="Arial"/>
        </w:rPr>
        <w:t>Source: DHHS, Victorian Population Health Survey, 2017</w:t>
      </w:r>
    </w:p>
    <w:p w14:paraId="08F8589F" w14:textId="77777777" w:rsidR="007F2831" w:rsidRPr="00B2525C" w:rsidRDefault="007F2831" w:rsidP="00A55B7D">
      <w:pPr>
        <w:spacing w:before="116"/>
        <w:ind w:left="120" w:right="436"/>
        <w:rPr>
          <w:rFonts w:cs="Arial"/>
          <w:sz w:val="20"/>
        </w:rPr>
      </w:pPr>
    </w:p>
    <w:p w14:paraId="3A6C8EE6" w14:textId="77777777" w:rsidR="000A7F4B" w:rsidRDefault="000A7F4B" w:rsidP="000A7F4B">
      <w:pPr>
        <w:pStyle w:val="Heading2"/>
      </w:pPr>
      <w:r>
        <w:br w:type="page"/>
      </w:r>
    </w:p>
    <w:p w14:paraId="71B2DDCD" w14:textId="77777777" w:rsidR="000D1339" w:rsidRPr="00B2525C" w:rsidRDefault="000D1339" w:rsidP="000A7F4B">
      <w:pPr>
        <w:pStyle w:val="Heading2"/>
      </w:pPr>
      <w:r w:rsidRPr="00B2525C">
        <w:lastRenderedPageBreak/>
        <w:t>Healthy diet</w:t>
      </w:r>
    </w:p>
    <w:p w14:paraId="11C0DF94" w14:textId="21DBE7EC" w:rsidR="000D1339" w:rsidRDefault="000D1339" w:rsidP="000D1339">
      <w:pPr>
        <w:rPr>
          <w:rFonts w:cs="Arial"/>
        </w:rPr>
      </w:pPr>
      <w:r w:rsidRPr="00B2525C">
        <w:rPr>
          <w:rFonts w:cs="Arial"/>
        </w:rPr>
        <w:t xml:space="preserve">Healthy eating is a key determinant of health and wellbeing, helping to prevent and manage health risk factors such as overweight and obesity, high blood pressure and high cholesterol. Daily intake of fruit and vegetables is used as a proxy measure of the quality of a person's diet in Australia and internationally. Based on self-reported data from the Australian Bureau of Statistics (ABS) 2017–18 National Health Survey (NHS), Australians aged 18 or over in the lowest socioeconomic areas were less likely to meet the fruit and vegetable guidelines than those in the highest socioeconomic </w:t>
      </w:r>
      <w:r w:rsidR="009D1B64" w:rsidRPr="00B2525C">
        <w:rPr>
          <w:rFonts w:cs="Arial"/>
        </w:rPr>
        <w:t>areas</w:t>
      </w:r>
      <w:r w:rsidRPr="00B2525C">
        <w:rPr>
          <w:rFonts w:cs="Arial"/>
        </w:rPr>
        <w:t xml:space="preserve"> (AIHW, 2019).Data from the Victorian Population Health Survey shows 3.2 per cent of Moonee Valley residents compared to 2.9 per cent for Western Melbourne area met the fruit and vegetable consumption guidelines of consuming two serves of fruit and five serves of vegetables a day in 2017.</w:t>
      </w:r>
    </w:p>
    <w:p w14:paraId="2F4DEFC8" w14:textId="77777777" w:rsidR="007C4970" w:rsidRDefault="007C4970" w:rsidP="000D1339">
      <w:pPr>
        <w:rPr>
          <w:rFonts w:cs="Arial"/>
          <w:sz w:val="20"/>
          <w:szCs w:val="20"/>
        </w:rPr>
      </w:pPr>
    </w:p>
    <w:p w14:paraId="5BF49C47" w14:textId="053623B5" w:rsidR="007C4970" w:rsidRPr="00B2525C" w:rsidRDefault="000052A8" w:rsidP="000D1339">
      <w:pPr>
        <w:rPr>
          <w:rFonts w:cs="Arial"/>
          <w:sz w:val="20"/>
          <w:szCs w:val="20"/>
        </w:rPr>
      </w:pPr>
      <w:r>
        <w:rPr>
          <w:rFonts w:cs="Arial"/>
          <w:sz w:val="20"/>
          <w:szCs w:val="20"/>
        </w:rPr>
        <w:t>Figure</w:t>
      </w:r>
      <w:r w:rsidR="00B93B84">
        <w:rPr>
          <w:rFonts w:cs="Arial"/>
          <w:sz w:val="20"/>
          <w:szCs w:val="20"/>
        </w:rPr>
        <w:t xml:space="preserve"> 29. </w:t>
      </w:r>
      <w:r w:rsidR="007C4970" w:rsidRPr="007C4970">
        <w:rPr>
          <w:rFonts w:cs="Arial"/>
          <w:sz w:val="20"/>
          <w:szCs w:val="20"/>
        </w:rPr>
        <w:t>Consumed two serves of fruit and five serves of vegetables per day</w:t>
      </w:r>
    </w:p>
    <w:p w14:paraId="521C3AB7" w14:textId="3F5506E3" w:rsidR="000D1339" w:rsidRPr="00B2525C" w:rsidRDefault="00283EAE" w:rsidP="000D1339">
      <w:pPr>
        <w:pStyle w:val="NoSpacing"/>
        <w:rPr>
          <w:rFonts w:ascii="Arial" w:hAnsi="Arial" w:cs="Arial"/>
        </w:rPr>
      </w:pPr>
      <w:r w:rsidRPr="00B2525C">
        <w:rPr>
          <w:rFonts w:ascii="Arial" w:hAnsi="Arial" w:cs="Arial"/>
          <w:noProof/>
        </w:rPr>
        <w:drawing>
          <wp:anchor distT="0" distB="0" distL="114300" distR="114300" simplePos="0" relativeHeight="251708416" behindDoc="0" locked="0" layoutInCell="1" allowOverlap="1" wp14:anchorId="0C3DF244" wp14:editId="3BF600EA">
            <wp:simplePos x="0" y="0"/>
            <wp:positionH relativeFrom="margin">
              <wp:align>left</wp:align>
            </wp:positionH>
            <wp:positionV relativeFrom="paragraph">
              <wp:posOffset>4445</wp:posOffset>
            </wp:positionV>
            <wp:extent cx="5528310" cy="2000250"/>
            <wp:effectExtent l="0" t="0" r="0" b="0"/>
            <wp:wrapSquare wrapText="bothSides"/>
            <wp:docPr id="122" name="Chart 122">
              <a:extLst xmlns:a="http://schemas.openxmlformats.org/drawingml/2006/main">
                <a:ext uri="{FF2B5EF4-FFF2-40B4-BE49-F238E27FC236}">
                  <a16:creationId xmlns:a16="http://schemas.microsoft.com/office/drawing/2014/main" id="{AD640860-316C-4D6D-B243-D4ED26060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0D1339" w:rsidRPr="00B2525C">
        <w:rPr>
          <w:rFonts w:ascii="Arial" w:hAnsi="Arial" w:cs="Arial"/>
        </w:rPr>
        <w:br w:type="textWrapping" w:clear="all"/>
      </w:r>
    </w:p>
    <w:p w14:paraId="2005600A" w14:textId="77777777" w:rsidR="000D1339" w:rsidRPr="00B2525C" w:rsidRDefault="000D1339" w:rsidP="000D1339">
      <w:pPr>
        <w:pStyle w:val="Caption"/>
        <w:rPr>
          <w:rFonts w:cs="Arial"/>
        </w:rPr>
      </w:pPr>
      <w:r w:rsidRPr="00B2525C">
        <w:rPr>
          <w:rFonts w:cs="Arial"/>
        </w:rPr>
        <w:t>Source: DHHS, Victorian Population Health Survey, 2017</w:t>
      </w:r>
    </w:p>
    <w:p w14:paraId="09422625" w14:textId="77777777" w:rsidR="000D1339" w:rsidRPr="00B2525C" w:rsidRDefault="000D1339" w:rsidP="000D1339">
      <w:pPr>
        <w:rPr>
          <w:rFonts w:cs="Arial"/>
        </w:rPr>
      </w:pPr>
    </w:p>
    <w:p w14:paraId="49BE09FF" w14:textId="77777777" w:rsidR="00796B3A" w:rsidRPr="00B2525C" w:rsidRDefault="000D1339" w:rsidP="000A7F4B">
      <w:pPr>
        <w:pStyle w:val="Heading3"/>
      </w:pPr>
      <w:r w:rsidRPr="00B2525C">
        <w:t>Food insecurity</w:t>
      </w:r>
      <w:r w:rsidR="00796B3A" w:rsidRPr="00B2525C">
        <w:t xml:space="preserve"> </w:t>
      </w:r>
    </w:p>
    <w:p w14:paraId="1A924A17" w14:textId="04D9B65B" w:rsidR="00796B3A" w:rsidRPr="00B2525C" w:rsidRDefault="000D1339" w:rsidP="00796B3A">
      <w:pPr>
        <w:rPr>
          <w:rFonts w:cs="Arial"/>
        </w:rPr>
      </w:pPr>
      <w:r w:rsidRPr="00B2525C">
        <w:rPr>
          <w:rFonts w:cs="Arial"/>
        </w:rPr>
        <w:t>In order for people to engage in healthy eating behaviours, food needs to be available, nutritious, culturally appropriate</w:t>
      </w:r>
      <w:r w:rsidR="00283EAE">
        <w:rPr>
          <w:rFonts w:cs="Arial"/>
        </w:rPr>
        <w:t xml:space="preserve"> and</w:t>
      </w:r>
      <w:r w:rsidRPr="00B2525C">
        <w:rPr>
          <w:rFonts w:cs="Arial"/>
        </w:rPr>
        <w:t xml:space="preserve"> affordable (VicHealth, 2012). </w:t>
      </w:r>
      <w:r w:rsidR="00796B3A" w:rsidRPr="00B2525C">
        <w:rPr>
          <w:rFonts w:cs="Arial"/>
        </w:rPr>
        <w:t>Food insecurity occurs when people lack access to enough food for an active and healthy life</w:t>
      </w:r>
      <w:r w:rsidR="00796B3A" w:rsidRPr="00B2525C">
        <w:rPr>
          <w:rFonts w:cs="Arial"/>
          <w:position w:val="8"/>
          <w:sz w:val="14"/>
        </w:rPr>
        <w:t xml:space="preserve"> </w:t>
      </w:r>
      <w:r w:rsidR="00796B3A" w:rsidRPr="00B2525C">
        <w:rPr>
          <w:rFonts w:cs="Arial"/>
        </w:rPr>
        <w:t>due to the inability to purchase, store and cook food, and/or when their neighbourhoods do not provide sufficient access to healthy food outlets.</w:t>
      </w:r>
      <w:r w:rsidR="00796B3A" w:rsidRPr="00B2525C">
        <w:rPr>
          <w:rFonts w:cs="Arial"/>
          <w:position w:val="8"/>
          <w:sz w:val="14"/>
        </w:rPr>
        <w:t xml:space="preserve"> </w:t>
      </w:r>
      <w:r w:rsidR="00796B3A" w:rsidRPr="00B2525C">
        <w:rPr>
          <w:rFonts w:cs="Arial"/>
        </w:rPr>
        <w:t>Food insecurity can affect academic achievement in children, and is a contributing factor to childhood overweight and obesity</w:t>
      </w:r>
      <w:r w:rsidR="00BA0471" w:rsidRPr="00B2525C">
        <w:rPr>
          <w:rFonts w:cs="Arial"/>
        </w:rPr>
        <w:t>.</w:t>
      </w:r>
      <w:r w:rsidR="00796B3A" w:rsidRPr="00B2525C">
        <w:rPr>
          <w:rFonts w:cs="Arial"/>
          <w:position w:val="8"/>
          <w:sz w:val="14"/>
        </w:rPr>
        <w:t xml:space="preserve"> </w:t>
      </w:r>
      <w:r w:rsidR="00BA0471" w:rsidRPr="00B2525C">
        <w:rPr>
          <w:rFonts w:cs="Arial"/>
        </w:rPr>
        <w:t>F</w:t>
      </w:r>
      <w:r w:rsidR="00796B3A" w:rsidRPr="00B2525C">
        <w:rPr>
          <w:rFonts w:cs="Arial"/>
        </w:rPr>
        <w:t>amilies experiencing food insecurity may need to purchase cheaper food which is energy dense but nutrient poor (Rosier, 2011). In 2014</w:t>
      </w:r>
      <w:r w:rsidR="00BA0471" w:rsidRPr="00B2525C">
        <w:rPr>
          <w:rFonts w:cs="Arial"/>
        </w:rPr>
        <w:t>,</w:t>
      </w:r>
      <w:r w:rsidR="00796B3A" w:rsidRPr="00B2525C">
        <w:rPr>
          <w:rFonts w:cs="Arial"/>
        </w:rPr>
        <w:t xml:space="preserve"> survey results from the VicHealth indicators survey indicated a lower proportion of people in the City of Moonee Valley were experiencing food insecurity (2.5 per cent) compared with the average Victorian measure (4.6 per cent).</w:t>
      </w:r>
      <w:r w:rsidR="00796B3A" w:rsidRPr="00B2525C">
        <w:rPr>
          <w:rFonts w:cs="Arial"/>
          <w:spacing w:val="-37"/>
        </w:rPr>
        <w:t xml:space="preserve"> </w:t>
      </w:r>
    </w:p>
    <w:p w14:paraId="79310EA6" w14:textId="77777777" w:rsidR="00796B3A" w:rsidRPr="00B2525C" w:rsidRDefault="00796B3A" w:rsidP="00796B3A">
      <w:pPr>
        <w:pStyle w:val="NoSpacing"/>
        <w:rPr>
          <w:rFonts w:ascii="Arial" w:hAnsi="Arial" w:cs="Arial"/>
        </w:rPr>
      </w:pPr>
    </w:p>
    <w:p w14:paraId="640E983C" w14:textId="4B097559" w:rsidR="00796B3A" w:rsidRPr="00B2525C" w:rsidRDefault="00796B3A" w:rsidP="00796B3A">
      <w:pPr>
        <w:rPr>
          <w:rFonts w:cs="Arial"/>
        </w:rPr>
      </w:pPr>
      <w:r w:rsidRPr="00B2525C">
        <w:rPr>
          <w:rFonts w:cs="Arial"/>
        </w:rPr>
        <w:t>Access to fresh food provides residents with the opportunity to purchase nutritional foods which support healthy eating behaviours and lifestyles. Supermarkets are a common source of fresh healthy foods, but additionally, local retail outlets such as fruit and vegetable retailers (greengrocers)</w:t>
      </w:r>
      <w:r w:rsidR="00BA0471" w:rsidRPr="00B2525C">
        <w:rPr>
          <w:rFonts w:cs="Arial"/>
        </w:rPr>
        <w:t>, f</w:t>
      </w:r>
      <w:r w:rsidRPr="00B2525C">
        <w:rPr>
          <w:rFonts w:cs="Arial"/>
        </w:rPr>
        <w:t xml:space="preserve">armers markets and community gardens can also </w:t>
      </w:r>
      <w:r w:rsidR="000D1339" w:rsidRPr="00B2525C">
        <w:rPr>
          <w:rFonts w:cs="Arial"/>
        </w:rPr>
        <w:lastRenderedPageBreak/>
        <w:t>provide residents with the opportunity to purchase nutritional foods.</w:t>
      </w:r>
      <w:r w:rsidR="00BA0471" w:rsidRPr="00B2525C">
        <w:rPr>
          <w:rFonts w:cs="Arial"/>
        </w:rPr>
        <w:t xml:space="preserve"> Conversely, fast-food outlets may contribute to unhealthy food choices.</w:t>
      </w:r>
    </w:p>
    <w:p w14:paraId="72155F0F" w14:textId="77777777" w:rsidR="009772D9" w:rsidRPr="00283EAE" w:rsidRDefault="009772D9" w:rsidP="007A7AC3">
      <w:pPr>
        <w:pStyle w:val="Heading2"/>
        <w:rPr>
          <w:color w:val="7030A0"/>
        </w:rPr>
      </w:pPr>
      <w:r w:rsidRPr="00283EAE">
        <w:rPr>
          <w:color w:val="7030A0"/>
        </w:rPr>
        <w:t xml:space="preserve">Impact of </w:t>
      </w:r>
      <w:r w:rsidR="005D542F" w:rsidRPr="00283EAE">
        <w:rPr>
          <w:color w:val="7030A0"/>
        </w:rPr>
        <w:t>COVID-19</w:t>
      </w:r>
      <w:r w:rsidRPr="00283EAE">
        <w:rPr>
          <w:color w:val="7030A0"/>
        </w:rPr>
        <w:t xml:space="preserve"> on </w:t>
      </w:r>
      <w:r w:rsidR="00DB61AA" w:rsidRPr="00283EAE">
        <w:rPr>
          <w:color w:val="7030A0"/>
        </w:rPr>
        <w:t>i</w:t>
      </w:r>
      <w:r w:rsidRPr="00283EAE">
        <w:rPr>
          <w:color w:val="7030A0"/>
        </w:rPr>
        <w:t xml:space="preserve">ndividual behavioural factors </w:t>
      </w:r>
    </w:p>
    <w:p w14:paraId="38ECB9E3" w14:textId="77777777" w:rsidR="00911F93" w:rsidRDefault="00911F93" w:rsidP="0043326A">
      <w:pPr>
        <w:rPr>
          <w:rFonts w:cs="Arial"/>
          <w:color w:val="7030A0"/>
        </w:rPr>
      </w:pPr>
    </w:p>
    <w:p w14:paraId="6CA4019E" w14:textId="77777777" w:rsidR="0043326A" w:rsidRPr="00911F93" w:rsidRDefault="0043326A" w:rsidP="0043326A">
      <w:pPr>
        <w:rPr>
          <w:rFonts w:cs="Arial"/>
        </w:rPr>
      </w:pPr>
      <w:r w:rsidRPr="00B2525C">
        <w:rPr>
          <w:rFonts w:cs="Arial"/>
          <w:color w:val="7030A0"/>
        </w:rPr>
        <w:t xml:space="preserve">Smoking: </w:t>
      </w:r>
      <w:r w:rsidRPr="00911F93">
        <w:rPr>
          <w:rFonts w:cs="Arial"/>
        </w:rPr>
        <w:t>There was a mix of both positive and negative results for smoking rates during the pandemic</w:t>
      </w:r>
      <w:r w:rsidR="00382BDD" w:rsidRPr="00911F93">
        <w:rPr>
          <w:rFonts w:cs="Arial"/>
        </w:rPr>
        <w:t xml:space="preserve">. </w:t>
      </w:r>
      <w:r w:rsidRPr="00911F93">
        <w:rPr>
          <w:rFonts w:cs="Arial"/>
        </w:rPr>
        <w:t>Some Victorians attempted to quit because they believed smoking would increase the severity of COVID-19 if they were to contract the virus and many wanted to save money due to job loss o</w:t>
      </w:r>
      <w:r w:rsidR="000A7F4B">
        <w:rPr>
          <w:rFonts w:cs="Arial"/>
        </w:rPr>
        <w:t>r</w:t>
      </w:r>
      <w:r w:rsidRPr="00911F93">
        <w:rPr>
          <w:rFonts w:cs="Arial"/>
        </w:rPr>
        <w:t xml:space="preserve"> financial uncertainty (VicHealth, 2020).</w:t>
      </w:r>
    </w:p>
    <w:p w14:paraId="6ADF0787" w14:textId="1150C8D2" w:rsidR="0043326A" w:rsidRPr="00911F93" w:rsidRDefault="0043326A" w:rsidP="003F3E59">
      <w:pPr>
        <w:rPr>
          <w:rFonts w:cs="Arial"/>
        </w:rPr>
      </w:pPr>
      <w:r w:rsidRPr="00B2525C">
        <w:rPr>
          <w:rFonts w:cs="Arial"/>
          <w:color w:val="7030A0"/>
        </w:rPr>
        <w:t xml:space="preserve">Alcohol consumption: </w:t>
      </w:r>
      <w:r w:rsidRPr="00911F93">
        <w:rPr>
          <w:rFonts w:cs="Arial"/>
        </w:rPr>
        <w:t xml:space="preserve">With pubs and bars </w:t>
      </w:r>
      <w:r w:rsidR="00D73561">
        <w:rPr>
          <w:rFonts w:cs="Arial"/>
        </w:rPr>
        <w:t xml:space="preserve">intermittently </w:t>
      </w:r>
      <w:r w:rsidRPr="00911F93">
        <w:rPr>
          <w:rFonts w:cs="Arial"/>
        </w:rPr>
        <w:t>closed due to COVID-19</w:t>
      </w:r>
      <w:r w:rsidR="00D73561">
        <w:rPr>
          <w:rFonts w:cs="Arial"/>
        </w:rPr>
        <w:t xml:space="preserve"> restrictions</w:t>
      </w:r>
      <w:r w:rsidRPr="00911F93">
        <w:rPr>
          <w:rFonts w:cs="Arial"/>
        </w:rPr>
        <w:t>, more drinking may be taking place at home.</w:t>
      </w:r>
      <w:r w:rsidR="009D1B64" w:rsidRPr="00911F93">
        <w:rPr>
          <w:rFonts w:cs="Arial"/>
        </w:rPr>
        <w:t xml:space="preserve"> </w:t>
      </w:r>
      <w:r w:rsidRPr="00911F93">
        <w:rPr>
          <w:rFonts w:cs="Arial"/>
        </w:rPr>
        <w:t>Research from the Foundation for Alcohol Research and Education</w:t>
      </w:r>
      <w:r w:rsidR="00382BDD" w:rsidRPr="00911F93">
        <w:rPr>
          <w:rFonts w:cs="Arial"/>
        </w:rPr>
        <w:t xml:space="preserve"> (FARE)</w:t>
      </w:r>
      <w:r w:rsidRPr="00911F93">
        <w:rPr>
          <w:rFonts w:cs="Arial"/>
        </w:rPr>
        <w:t xml:space="preserve"> suggests that 20 per cent of Australians purchased more alcohol</w:t>
      </w:r>
      <w:r w:rsidR="00470C03" w:rsidRPr="00911F93">
        <w:rPr>
          <w:rFonts w:cs="Arial"/>
        </w:rPr>
        <w:t>,</w:t>
      </w:r>
      <w:r w:rsidRPr="00911F93">
        <w:rPr>
          <w:rFonts w:cs="Arial"/>
        </w:rPr>
        <w:t xml:space="preserve"> with 70 per cent drinking more </w:t>
      </w:r>
      <w:r w:rsidR="00470C03" w:rsidRPr="00911F93">
        <w:rPr>
          <w:rFonts w:cs="Arial"/>
        </w:rPr>
        <w:t xml:space="preserve">alcohol </w:t>
      </w:r>
      <w:r w:rsidRPr="00911F93">
        <w:rPr>
          <w:rFonts w:cs="Arial"/>
        </w:rPr>
        <w:t xml:space="preserve">than normal. Around one-third of these were concerned with their drinking and more than a quarter </w:t>
      </w:r>
      <w:r w:rsidR="00470C03" w:rsidRPr="00911F93">
        <w:rPr>
          <w:rFonts w:cs="Arial"/>
        </w:rPr>
        <w:t xml:space="preserve">said they </w:t>
      </w:r>
      <w:r w:rsidRPr="00911F93">
        <w:rPr>
          <w:rFonts w:cs="Arial"/>
        </w:rPr>
        <w:t>us</w:t>
      </w:r>
      <w:r w:rsidR="00470C03" w:rsidRPr="00911F93">
        <w:rPr>
          <w:rFonts w:cs="Arial"/>
        </w:rPr>
        <w:t>ed</w:t>
      </w:r>
      <w:r w:rsidRPr="00911F93">
        <w:rPr>
          <w:rFonts w:cs="Arial"/>
        </w:rPr>
        <w:t xml:space="preserve"> alcohol to cope with anxiety and stress</w:t>
      </w:r>
      <w:r w:rsidR="000E7A4C" w:rsidRPr="00911F93">
        <w:rPr>
          <w:rFonts w:cs="Arial"/>
        </w:rPr>
        <w:t xml:space="preserve"> </w:t>
      </w:r>
      <w:r w:rsidR="00382BDD" w:rsidRPr="00911F93">
        <w:rPr>
          <w:rFonts w:cs="Arial"/>
        </w:rPr>
        <w:t>(FARE, 2020)</w:t>
      </w:r>
      <w:r w:rsidRPr="00911F93">
        <w:rPr>
          <w:rFonts w:cs="Arial"/>
        </w:rPr>
        <w:t>. It is likely that there would be similar levels of drinking among Moonee Valley residents during COVID-19</w:t>
      </w:r>
      <w:r w:rsidR="000E7A4C" w:rsidRPr="00911F93">
        <w:rPr>
          <w:rFonts w:cs="Arial"/>
        </w:rPr>
        <w:t>.</w:t>
      </w:r>
    </w:p>
    <w:p w14:paraId="0930AD13" w14:textId="77777777" w:rsidR="0043326A" w:rsidRPr="00911F93" w:rsidRDefault="0043326A" w:rsidP="003F3E59">
      <w:pPr>
        <w:rPr>
          <w:rFonts w:cs="Arial"/>
          <w:szCs w:val="24"/>
        </w:rPr>
      </w:pPr>
      <w:r w:rsidRPr="00911F93">
        <w:rPr>
          <w:rFonts w:cs="Arial"/>
          <w:color w:val="7030A0"/>
          <w:szCs w:val="24"/>
        </w:rPr>
        <w:t xml:space="preserve">Drugs: </w:t>
      </w:r>
      <w:r w:rsidRPr="00911F93">
        <w:rPr>
          <w:rFonts w:cs="Arial"/>
          <w:szCs w:val="24"/>
        </w:rPr>
        <w:t>The trends and patterns of illicit drug use have changed since the pandemic lockdowns began. Rates of usage for some illicit drugs increased (</w:t>
      </w:r>
      <w:r w:rsidR="000E7A4C" w:rsidRPr="00911F93">
        <w:rPr>
          <w:rFonts w:cs="Arial"/>
          <w:szCs w:val="24"/>
        </w:rPr>
        <w:t xml:space="preserve">i.e. </w:t>
      </w:r>
      <w:r w:rsidRPr="00911F93">
        <w:rPr>
          <w:rFonts w:cs="Arial"/>
          <w:szCs w:val="24"/>
        </w:rPr>
        <w:t>cannabis increased usage 57</w:t>
      </w:r>
      <w:r w:rsidR="0017290D" w:rsidRPr="00911F93">
        <w:rPr>
          <w:rFonts w:cs="Arial"/>
          <w:szCs w:val="24"/>
        </w:rPr>
        <w:t>per cent</w:t>
      </w:r>
      <w:r w:rsidRPr="00911F93">
        <w:rPr>
          <w:rFonts w:cs="Arial"/>
          <w:szCs w:val="24"/>
        </w:rPr>
        <w:t>) for prior users however</w:t>
      </w:r>
      <w:r w:rsidR="000A7F4B">
        <w:rPr>
          <w:rFonts w:cs="Arial"/>
          <w:szCs w:val="24"/>
        </w:rPr>
        <w:t>,</w:t>
      </w:r>
      <w:r w:rsidRPr="00911F93">
        <w:rPr>
          <w:rFonts w:cs="Arial"/>
          <w:szCs w:val="24"/>
        </w:rPr>
        <w:t xml:space="preserve"> rates of usage for some other illicit drugs also decreased (</w:t>
      </w:r>
      <w:r w:rsidR="000E7A4C" w:rsidRPr="00911F93">
        <w:rPr>
          <w:rFonts w:cs="Arial"/>
          <w:szCs w:val="24"/>
        </w:rPr>
        <w:t xml:space="preserve">i.e. </w:t>
      </w:r>
      <w:r w:rsidRPr="00911F93">
        <w:rPr>
          <w:rFonts w:cs="Arial"/>
          <w:szCs w:val="24"/>
        </w:rPr>
        <w:t>cocaine, MDMA and ketamine) (Australian Institute of Health and Welfare</w:t>
      </w:r>
      <w:r w:rsidR="000E7A4C" w:rsidRPr="00911F93">
        <w:rPr>
          <w:rFonts w:cs="Arial"/>
          <w:szCs w:val="24"/>
        </w:rPr>
        <w:t>,</w:t>
      </w:r>
      <w:r w:rsidRPr="00911F93">
        <w:rPr>
          <w:rFonts w:cs="Arial"/>
          <w:szCs w:val="24"/>
        </w:rPr>
        <w:t xml:space="preserve"> 2020).</w:t>
      </w:r>
    </w:p>
    <w:p w14:paraId="2B6C5C17" w14:textId="77777777" w:rsidR="0043326A" w:rsidRPr="00911F93" w:rsidRDefault="0043326A" w:rsidP="003F3E59">
      <w:pPr>
        <w:rPr>
          <w:rFonts w:cs="Arial"/>
          <w:szCs w:val="24"/>
        </w:rPr>
      </w:pPr>
      <w:r w:rsidRPr="00911F93">
        <w:rPr>
          <w:rFonts w:cs="Arial"/>
          <w:color w:val="7030A0"/>
          <w:szCs w:val="24"/>
        </w:rPr>
        <w:t xml:space="preserve">Gambling: </w:t>
      </w:r>
      <w:r w:rsidRPr="00911F93">
        <w:rPr>
          <w:rFonts w:cs="Arial"/>
          <w:szCs w:val="24"/>
        </w:rPr>
        <w:t xml:space="preserve">The closure of gambling and pokies venues </w:t>
      </w:r>
      <w:r w:rsidR="00F04B41" w:rsidRPr="00911F93">
        <w:rPr>
          <w:rFonts w:cs="Arial"/>
          <w:szCs w:val="24"/>
        </w:rPr>
        <w:t>had</w:t>
      </w:r>
      <w:r w:rsidRPr="00911F93">
        <w:rPr>
          <w:rFonts w:cs="Arial"/>
          <w:szCs w:val="24"/>
        </w:rPr>
        <w:t xml:space="preserve"> an immediate benefit for some who gamble, particularly those who are not online gamblers. However, there was an increase in those who signed up to an online betting platform during the pandemic and a rise was seen in the amount of people who started to gamble online (Australian Gambling Research Centre</w:t>
      </w:r>
      <w:r w:rsidR="000E7A4C" w:rsidRPr="00911F93">
        <w:rPr>
          <w:rFonts w:cs="Arial"/>
          <w:szCs w:val="24"/>
        </w:rPr>
        <w:t>,</w:t>
      </w:r>
      <w:r w:rsidRPr="00911F93">
        <w:rPr>
          <w:rFonts w:cs="Arial"/>
          <w:szCs w:val="24"/>
        </w:rPr>
        <w:t xml:space="preserve"> 2020).</w:t>
      </w:r>
      <w:bookmarkStart w:id="26" w:name="births-indigenous-language"/>
      <w:r w:rsidRPr="00911F93">
        <w:rPr>
          <w:rFonts w:cs="Arial"/>
          <w:szCs w:val="24"/>
        </w:rPr>
        <w:t xml:space="preserve"> </w:t>
      </w:r>
      <w:bookmarkEnd w:id="26"/>
    </w:p>
    <w:p w14:paraId="77159BF2" w14:textId="0711F29E" w:rsidR="003F3E59" w:rsidRPr="00911F93" w:rsidRDefault="0043326A" w:rsidP="003F3E59">
      <w:pPr>
        <w:rPr>
          <w:rFonts w:cs="Arial"/>
          <w:szCs w:val="24"/>
        </w:rPr>
      </w:pPr>
      <w:r w:rsidRPr="00911F93">
        <w:rPr>
          <w:rFonts w:cs="Arial"/>
          <w:color w:val="7030A0"/>
          <w:szCs w:val="24"/>
        </w:rPr>
        <w:t xml:space="preserve">Physical activity: </w:t>
      </w:r>
      <w:r w:rsidRPr="00911F93">
        <w:rPr>
          <w:rFonts w:cs="Arial"/>
          <w:szCs w:val="24"/>
        </w:rPr>
        <w:t>T</w:t>
      </w:r>
      <w:r w:rsidR="003F3E59" w:rsidRPr="00911F93">
        <w:rPr>
          <w:rFonts w:cs="Arial"/>
          <w:szCs w:val="24"/>
        </w:rPr>
        <w:t xml:space="preserve">he VicHealth Coronavirus Impact Survey </w:t>
      </w:r>
      <w:r w:rsidRPr="00911F93">
        <w:rPr>
          <w:rFonts w:cs="Arial"/>
          <w:szCs w:val="24"/>
        </w:rPr>
        <w:t xml:space="preserve">reported that most people </w:t>
      </w:r>
      <w:r w:rsidR="003F3E59" w:rsidRPr="00911F93">
        <w:rPr>
          <w:rFonts w:cs="Arial"/>
          <w:szCs w:val="24"/>
        </w:rPr>
        <w:t>were able to continue being active but there were some limiting factors (VicHealth</w:t>
      </w:r>
      <w:r w:rsidR="000E7A4C" w:rsidRPr="00911F93">
        <w:rPr>
          <w:rFonts w:cs="Arial"/>
          <w:szCs w:val="24"/>
        </w:rPr>
        <w:t>,</w:t>
      </w:r>
      <w:r w:rsidR="003F3E59" w:rsidRPr="00911F93">
        <w:rPr>
          <w:rFonts w:cs="Arial"/>
          <w:szCs w:val="24"/>
        </w:rPr>
        <w:t xml:space="preserve"> 2020). The pandemic reduced access to sport and recreational facilities as well as limited participation in group settings.</w:t>
      </w:r>
      <w:r w:rsidR="00DF3412">
        <w:rPr>
          <w:rFonts w:cs="Arial"/>
          <w:szCs w:val="24"/>
        </w:rPr>
        <w:t xml:space="preserve"> During lockdowns people valued living in areas with good access to open space and infrastructure and it is plausible that people living in </w:t>
      </w:r>
      <w:proofErr w:type="gramStart"/>
      <w:r w:rsidR="00DF3412">
        <w:rPr>
          <w:rFonts w:cs="Arial"/>
          <w:szCs w:val="24"/>
        </w:rPr>
        <w:t>these area</w:t>
      </w:r>
      <w:proofErr w:type="gramEnd"/>
      <w:r w:rsidR="00DF3412">
        <w:rPr>
          <w:rFonts w:cs="Arial"/>
          <w:szCs w:val="24"/>
        </w:rPr>
        <w:t xml:space="preserve"> were able to be more active than those living in areas with less access to open space and infrastructure.</w:t>
      </w:r>
      <w:r w:rsidR="003F3E59" w:rsidRPr="00911F93">
        <w:rPr>
          <w:rFonts w:cs="Arial"/>
          <w:szCs w:val="24"/>
        </w:rPr>
        <w:t xml:space="preserve"> </w:t>
      </w:r>
    </w:p>
    <w:p w14:paraId="130C7898" w14:textId="52902805" w:rsidR="000D1339" w:rsidRPr="00911F93" w:rsidRDefault="000E7A4C" w:rsidP="000D1339">
      <w:pPr>
        <w:rPr>
          <w:rFonts w:cs="Arial"/>
          <w:szCs w:val="24"/>
        </w:rPr>
      </w:pPr>
      <w:r w:rsidRPr="00911F93">
        <w:rPr>
          <w:rFonts w:cs="Arial"/>
          <w:color w:val="7030A0"/>
          <w:szCs w:val="24"/>
        </w:rPr>
        <w:t xml:space="preserve">Healthy eating: </w:t>
      </w:r>
      <w:r w:rsidR="008B1CB7" w:rsidRPr="00911F93">
        <w:rPr>
          <w:rFonts w:cs="Arial"/>
          <w:szCs w:val="24"/>
        </w:rPr>
        <w:t xml:space="preserve">The VicHealth Coronavirus Impact Survey reported an increase in </w:t>
      </w:r>
      <w:r w:rsidR="0009749A" w:rsidRPr="00911F93">
        <w:rPr>
          <w:rFonts w:cs="Arial"/>
          <w:szCs w:val="24"/>
        </w:rPr>
        <w:t xml:space="preserve">people eating more vegetables because they were </w:t>
      </w:r>
      <w:r w:rsidR="008B1CB7" w:rsidRPr="00911F93">
        <w:rPr>
          <w:rFonts w:cs="Arial"/>
          <w:szCs w:val="24"/>
        </w:rPr>
        <w:t xml:space="preserve">cooking </w:t>
      </w:r>
      <w:r w:rsidR="0009749A" w:rsidRPr="00911F93">
        <w:rPr>
          <w:rFonts w:cs="Arial"/>
          <w:szCs w:val="24"/>
        </w:rPr>
        <w:t xml:space="preserve">more </w:t>
      </w:r>
      <w:r w:rsidR="008B1CB7" w:rsidRPr="00911F93">
        <w:rPr>
          <w:rFonts w:cs="Arial"/>
          <w:szCs w:val="24"/>
        </w:rPr>
        <w:t>at home</w:t>
      </w:r>
      <w:r w:rsidR="0009749A" w:rsidRPr="00911F93">
        <w:rPr>
          <w:rFonts w:cs="Arial"/>
          <w:szCs w:val="24"/>
        </w:rPr>
        <w:t xml:space="preserve"> (VicHealth, 2020).</w:t>
      </w:r>
      <w:r w:rsidR="000D1339" w:rsidRPr="00911F93">
        <w:rPr>
          <w:rFonts w:cs="Arial"/>
          <w:szCs w:val="24"/>
        </w:rPr>
        <w:t xml:space="preserve"> There was a rise in food insecurity </w:t>
      </w:r>
      <w:r w:rsidR="00DF3412">
        <w:rPr>
          <w:rFonts w:cs="Arial"/>
          <w:szCs w:val="24"/>
        </w:rPr>
        <w:t xml:space="preserve">and is likely to remain an issue </w:t>
      </w:r>
      <w:r w:rsidR="000D1339" w:rsidRPr="00911F93">
        <w:rPr>
          <w:rFonts w:cs="Arial"/>
          <w:szCs w:val="24"/>
        </w:rPr>
        <w:t>during the COVID-19 pandemic (VicHealth 2020)</w:t>
      </w:r>
      <w:r w:rsidR="00DF3412">
        <w:rPr>
          <w:rFonts w:cs="Arial"/>
          <w:szCs w:val="24"/>
        </w:rPr>
        <w:t xml:space="preserve">. </w:t>
      </w:r>
      <w:r w:rsidR="000D1339" w:rsidRPr="00911F93">
        <w:rPr>
          <w:rFonts w:cs="Arial"/>
          <w:szCs w:val="24"/>
        </w:rPr>
        <w:t xml:space="preserve">Throughout metropolitan Melbourne food relief was an issue for </w:t>
      </w:r>
      <w:r w:rsidR="000D1339" w:rsidRPr="00911F93">
        <w:rPr>
          <w:rFonts w:cs="Arial"/>
          <w:b/>
          <w:bCs/>
          <w:szCs w:val="24"/>
        </w:rPr>
        <w:t>international students</w:t>
      </w:r>
      <w:r w:rsidR="00DF3412">
        <w:rPr>
          <w:rFonts w:cs="Arial"/>
          <w:b/>
          <w:bCs/>
          <w:szCs w:val="24"/>
        </w:rPr>
        <w:t>, older people</w:t>
      </w:r>
      <w:r w:rsidR="000D1339" w:rsidRPr="00911F93">
        <w:rPr>
          <w:rFonts w:cs="Arial"/>
          <w:szCs w:val="24"/>
        </w:rPr>
        <w:t xml:space="preserve"> and the </w:t>
      </w:r>
      <w:r w:rsidR="000D1339" w:rsidRPr="00911F93">
        <w:rPr>
          <w:rFonts w:cs="Arial"/>
          <w:b/>
          <w:bCs/>
          <w:szCs w:val="24"/>
        </w:rPr>
        <w:t>CALD community</w:t>
      </w:r>
      <w:r w:rsidR="00470C03" w:rsidRPr="00911F93">
        <w:rPr>
          <w:rFonts w:cs="Arial"/>
          <w:b/>
          <w:bCs/>
          <w:szCs w:val="24"/>
        </w:rPr>
        <w:t xml:space="preserve"> </w:t>
      </w:r>
      <w:r w:rsidR="00470C03" w:rsidRPr="00911F93">
        <w:rPr>
          <w:rFonts w:cs="Arial"/>
          <w:szCs w:val="24"/>
        </w:rPr>
        <w:t xml:space="preserve">during </w:t>
      </w:r>
      <w:r w:rsidR="00D73561">
        <w:rPr>
          <w:rFonts w:cs="Arial"/>
          <w:szCs w:val="24"/>
        </w:rPr>
        <w:t xml:space="preserve">various </w:t>
      </w:r>
      <w:r w:rsidR="00470C03" w:rsidRPr="00911F93">
        <w:rPr>
          <w:rFonts w:cs="Arial"/>
          <w:szCs w:val="24"/>
        </w:rPr>
        <w:t>lockdown</w:t>
      </w:r>
      <w:r w:rsidR="00D73561">
        <w:rPr>
          <w:rFonts w:cs="Arial"/>
          <w:szCs w:val="24"/>
        </w:rPr>
        <w:t>s</w:t>
      </w:r>
      <w:r w:rsidR="00470C03" w:rsidRPr="00911F93">
        <w:rPr>
          <w:rFonts w:cs="Arial"/>
          <w:szCs w:val="24"/>
        </w:rPr>
        <w:t xml:space="preserve"> (i.e. Flemington public housing estate</w:t>
      </w:r>
      <w:r w:rsidR="00470C03" w:rsidRPr="00911F93">
        <w:rPr>
          <w:rFonts w:cs="Arial"/>
          <w:b/>
          <w:bCs/>
          <w:szCs w:val="24"/>
        </w:rPr>
        <w:t>)</w:t>
      </w:r>
      <w:r w:rsidR="000D1339" w:rsidRPr="00911F93">
        <w:rPr>
          <w:rFonts w:cs="Arial"/>
          <w:szCs w:val="24"/>
        </w:rPr>
        <w:t xml:space="preserve">, many of whom had specific requests for culturally appropriate food. </w:t>
      </w:r>
    </w:p>
    <w:p w14:paraId="607B256D" w14:textId="77777777" w:rsidR="00E010BE" w:rsidRPr="00B2525C" w:rsidRDefault="00E010BE" w:rsidP="00E010BE">
      <w:pPr>
        <w:spacing w:after="120"/>
        <w:rPr>
          <w:rFonts w:cs="Arial"/>
        </w:rPr>
      </w:pPr>
    </w:p>
    <w:p w14:paraId="6F57A800" w14:textId="77777777" w:rsidR="009772D9" w:rsidRPr="00B2525C" w:rsidRDefault="009772D9" w:rsidP="00A55B7D">
      <w:pPr>
        <w:spacing w:before="116"/>
        <w:ind w:left="120" w:right="436"/>
        <w:rPr>
          <w:rFonts w:cs="Arial"/>
          <w:sz w:val="20"/>
        </w:rPr>
      </w:pPr>
    </w:p>
    <w:p w14:paraId="10D50D4D" w14:textId="77777777" w:rsidR="009772D9" w:rsidRPr="00B2525C" w:rsidRDefault="009772D9" w:rsidP="004230BA">
      <w:pPr>
        <w:rPr>
          <w:rFonts w:cs="Arial"/>
        </w:rPr>
      </w:pPr>
      <w:r w:rsidRPr="00B2525C">
        <w:rPr>
          <w:rFonts w:cs="Arial"/>
        </w:rPr>
        <w:br w:type="page"/>
      </w:r>
    </w:p>
    <w:p w14:paraId="586BFBD8" w14:textId="77777777" w:rsidR="00766B27" w:rsidRPr="00B2525C" w:rsidRDefault="00766B27" w:rsidP="0000364C">
      <w:pPr>
        <w:pStyle w:val="Heading1"/>
        <w:numPr>
          <w:ilvl w:val="0"/>
          <w:numId w:val="20"/>
        </w:numPr>
        <w:rPr>
          <w:rFonts w:cs="Arial"/>
        </w:rPr>
      </w:pPr>
      <w:bookmarkStart w:id="27" w:name="_Toc80014167"/>
      <w:r w:rsidRPr="00B2525C">
        <w:rPr>
          <w:rFonts w:cs="Arial"/>
        </w:rPr>
        <w:lastRenderedPageBreak/>
        <w:t xml:space="preserve">Individual </w:t>
      </w:r>
      <w:r w:rsidR="002A53F6" w:rsidRPr="00B2525C">
        <w:rPr>
          <w:rFonts w:cs="Arial"/>
        </w:rPr>
        <w:t>l</w:t>
      </w:r>
      <w:r w:rsidRPr="00B2525C">
        <w:rPr>
          <w:rFonts w:cs="Arial"/>
        </w:rPr>
        <w:t>iving and working conditions</w:t>
      </w:r>
      <w:bookmarkEnd w:id="27"/>
      <w:r w:rsidR="005C3348" w:rsidRPr="00B2525C">
        <w:rPr>
          <w:rFonts w:cs="Arial"/>
        </w:rPr>
        <w:t xml:space="preserve"> </w:t>
      </w:r>
    </w:p>
    <w:p w14:paraId="41A96223" w14:textId="77777777" w:rsidR="00BE2883" w:rsidRDefault="00BE2883" w:rsidP="00570769">
      <w:pPr>
        <w:pBdr>
          <w:bottom w:val="single" w:sz="4" w:space="1" w:color="auto"/>
        </w:pBdr>
        <w:rPr>
          <w:rFonts w:cs="Arial"/>
          <w:b/>
        </w:rPr>
      </w:pPr>
    </w:p>
    <w:p w14:paraId="1A26BC4C" w14:textId="77777777" w:rsidR="00570769" w:rsidRPr="00B2525C" w:rsidRDefault="009772D9" w:rsidP="00570769">
      <w:pPr>
        <w:pBdr>
          <w:bottom w:val="single" w:sz="4" w:space="1" w:color="auto"/>
        </w:pBdr>
        <w:rPr>
          <w:rFonts w:cs="Arial"/>
          <w:b/>
        </w:rPr>
      </w:pPr>
      <w:r w:rsidRPr="00B2525C">
        <w:rPr>
          <w:rFonts w:cs="Arial"/>
          <w:b/>
        </w:rPr>
        <w:t xml:space="preserve">Key points: </w:t>
      </w:r>
    </w:p>
    <w:p w14:paraId="5B127272" w14:textId="77777777" w:rsidR="002D5865" w:rsidRPr="007C4970" w:rsidRDefault="00E37EA5" w:rsidP="00BE2883">
      <w:pPr>
        <w:pStyle w:val="ListParagraph"/>
        <w:numPr>
          <w:ilvl w:val="0"/>
          <w:numId w:val="32"/>
        </w:numPr>
        <w:pBdr>
          <w:bottom w:val="single" w:sz="4" w:space="1" w:color="auto"/>
        </w:pBdr>
        <w:spacing w:line="360" w:lineRule="auto"/>
        <w:rPr>
          <w:rFonts w:ascii="Circular Std Book" w:hAnsi="Circular Std Book" w:cs="Circular Std Book"/>
        </w:rPr>
      </w:pPr>
      <w:r w:rsidRPr="007C4970">
        <w:rPr>
          <w:rFonts w:ascii="Circular Std Book" w:hAnsi="Circular Std Book" w:cs="Circular Std Book"/>
        </w:rPr>
        <w:t>Moonee Valley City Council</w:t>
      </w:r>
      <w:r w:rsidR="00FB37D0" w:rsidRPr="007C4970">
        <w:rPr>
          <w:rFonts w:ascii="Circular Std Book" w:hAnsi="Circular Std Book" w:cs="Circular Std Book"/>
        </w:rPr>
        <w:t xml:space="preserve"> </w:t>
      </w:r>
      <w:r w:rsidR="00470C03" w:rsidRPr="007C4970">
        <w:rPr>
          <w:rFonts w:ascii="Circular Std Book" w:hAnsi="Circular Std Book" w:cs="Circular Std Book"/>
        </w:rPr>
        <w:t xml:space="preserve">is </w:t>
      </w:r>
      <w:r w:rsidR="002D5865" w:rsidRPr="007C4970">
        <w:rPr>
          <w:rFonts w:ascii="Circular Std Book" w:hAnsi="Circular Std Book" w:cs="Circular Std Book"/>
        </w:rPr>
        <w:t xml:space="preserve">more socio-economically advantaged compared to other metropolitan municipalities. </w:t>
      </w:r>
    </w:p>
    <w:p w14:paraId="6DBD5A26" w14:textId="77777777" w:rsidR="002D5865" w:rsidRPr="007C4970" w:rsidRDefault="002D5865" w:rsidP="00BE2883">
      <w:pPr>
        <w:pStyle w:val="ListParagraph"/>
        <w:numPr>
          <w:ilvl w:val="0"/>
          <w:numId w:val="26"/>
        </w:numPr>
        <w:pBdr>
          <w:bottom w:val="single" w:sz="4" w:space="1" w:color="auto"/>
        </w:pBdr>
        <w:spacing w:line="360" w:lineRule="auto"/>
        <w:rPr>
          <w:rFonts w:ascii="Circular Std Book" w:hAnsi="Circular Std Book" w:cs="Circular Std Book"/>
        </w:rPr>
      </w:pPr>
      <w:r w:rsidRPr="007C4970">
        <w:rPr>
          <w:rFonts w:ascii="Circular Std Book" w:hAnsi="Circular Std Book" w:cs="Circular Std Book"/>
        </w:rPr>
        <w:t>The unemployment rate is highest in Flemington and Ascot Vale, and lowest in Strathmore.</w:t>
      </w:r>
    </w:p>
    <w:p w14:paraId="143862BC" w14:textId="387BA148" w:rsidR="00013D9B" w:rsidRPr="007C4970" w:rsidRDefault="00E37EA5" w:rsidP="00BE2883">
      <w:pPr>
        <w:pStyle w:val="ListParagraph"/>
        <w:numPr>
          <w:ilvl w:val="0"/>
          <w:numId w:val="26"/>
        </w:numPr>
        <w:pBdr>
          <w:bottom w:val="single" w:sz="4" w:space="1" w:color="auto"/>
        </w:pBdr>
        <w:spacing w:line="360" w:lineRule="auto"/>
        <w:rPr>
          <w:rFonts w:ascii="Circular Std Book" w:hAnsi="Circular Std Book" w:cs="Circular Std Book"/>
        </w:rPr>
      </w:pPr>
      <w:r w:rsidRPr="007C4970">
        <w:rPr>
          <w:rFonts w:ascii="Circular Std Book" w:hAnsi="Circular Std Book" w:cs="Circular Std Book"/>
        </w:rPr>
        <w:t>Moonee Valley City Council</w:t>
      </w:r>
      <w:r w:rsidR="00013D9B" w:rsidRPr="007C4970">
        <w:rPr>
          <w:rFonts w:ascii="Circular Std Book" w:hAnsi="Circular Std Book" w:cs="Circular Std Book"/>
        </w:rPr>
        <w:t xml:space="preserve"> has </w:t>
      </w:r>
      <w:r w:rsidR="00B26C6B">
        <w:rPr>
          <w:rFonts w:ascii="Circular Std Book" w:hAnsi="Circular Std Book" w:cs="Circular Std Book"/>
        </w:rPr>
        <w:t>a high</w:t>
      </w:r>
      <w:r w:rsidR="00013D9B" w:rsidRPr="007C4970">
        <w:rPr>
          <w:rFonts w:ascii="Circular Std Book" w:hAnsi="Circular Std Book" w:cs="Circular Std Book"/>
        </w:rPr>
        <w:t xml:space="preserve"> proportion of </w:t>
      </w:r>
      <w:r w:rsidR="00013D9B" w:rsidRPr="007C4970">
        <w:rPr>
          <w:rFonts w:ascii="Circular Std Book" w:hAnsi="Circular Std Book" w:cs="Circular Std Book"/>
          <w:i/>
          <w:iCs/>
        </w:rPr>
        <w:t>social housing</w:t>
      </w:r>
      <w:r w:rsidR="00BA3785">
        <w:rPr>
          <w:rFonts w:ascii="Circular Std Book" w:hAnsi="Circular Std Book" w:cs="Circular Std Book"/>
          <w:i/>
          <w:iCs/>
        </w:rPr>
        <w:t>,</w:t>
      </w:r>
      <w:r w:rsidR="00013D9B" w:rsidRPr="007C4970">
        <w:rPr>
          <w:rFonts w:ascii="Circular Std Book" w:hAnsi="Circular Std Book" w:cs="Circular Std Book"/>
          <w:i/>
          <w:iCs/>
        </w:rPr>
        <w:t xml:space="preserve"> </w:t>
      </w:r>
      <w:r w:rsidR="00013D9B" w:rsidRPr="007C4970">
        <w:rPr>
          <w:rFonts w:ascii="Circular Std Book" w:hAnsi="Circular Std Book" w:cs="Circular Std Book"/>
        </w:rPr>
        <w:t>with almost 9</w:t>
      </w:r>
      <w:r w:rsidR="00AF5DB9" w:rsidRPr="007C4970">
        <w:rPr>
          <w:rFonts w:ascii="Circular Std Book" w:hAnsi="Circular Std Book" w:cs="Circular Std Book"/>
        </w:rPr>
        <w:t xml:space="preserve"> </w:t>
      </w:r>
      <w:r w:rsidR="0017290D" w:rsidRPr="007C4970">
        <w:rPr>
          <w:rFonts w:ascii="Circular Std Book" w:hAnsi="Circular Std Book" w:cs="Circular Std Book"/>
        </w:rPr>
        <w:t>per cent</w:t>
      </w:r>
      <w:r w:rsidR="00013D9B" w:rsidRPr="007C4970">
        <w:rPr>
          <w:rFonts w:ascii="Circular Std Book" w:hAnsi="Circular Std Book" w:cs="Circular Std Book"/>
        </w:rPr>
        <w:t xml:space="preserve"> of dwellings as social housing stock</w:t>
      </w:r>
    </w:p>
    <w:p w14:paraId="523094BF" w14:textId="77777777" w:rsidR="002D5865" w:rsidRPr="007C4970" w:rsidRDefault="00C92E80" w:rsidP="00BE2883">
      <w:pPr>
        <w:pStyle w:val="ListParagraph"/>
        <w:numPr>
          <w:ilvl w:val="0"/>
          <w:numId w:val="26"/>
        </w:numPr>
        <w:pBdr>
          <w:bottom w:val="single" w:sz="4" w:space="1" w:color="auto"/>
        </w:pBdr>
        <w:spacing w:line="360" w:lineRule="auto"/>
        <w:rPr>
          <w:rFonts w:ascii="Circular Std Book" w:hAnsi="Circular Std Book" w:cs="Circular Std Book"/>
        </w:rPr>
      </w:pPr>
      <w:r w:rsidRPr="007C4970">
        <w:rPr>
          <w:rFonts w:ascii="Circular Std Book" w:hAnsi="Circular Std Book" w:cs="Circular Std Book"/>
        </w:rPr>
        <w:t>There is l</w:t>
      </w:r>
      <w:r w:rsidR="002D5865" w:rsidRPr="007C4970">
        <w:rPr>
          <w:rFonts w:ascii="Circular Std Book" w:hAnsi="Circular Std Book" w:cs="Circular Std Book"/>
        </w:rPr>
        <w:t xml:space="preserve">imited availability of affordable housing </w:t>
      </w:r>
      <w:r w:rsidR="00E079B2" w:rsidRPr="007C4970">
        <w:rPr>
          <w:rFonts w:ascii="Circular Std Book" w:hAnsi="Circular Std Book" w:cs="Circular Std Book"/>
        </w:rPr>
        <w:t>and rental properties.</w:t>
      </w:r>
    </w:p>
    <w:p w14:paraId="2CC7440C" w14:textId="784F6668" w:rsidR="00E079B2" w:rsidRPr="007C4970" w:rsidRDefault="00470C03" w:rsidP="00BE2883">
      <w:pPr>
        <w:pStyle w:val="ListParagraph"/>
        <w:numPr>
          <w:ilvl w:val="0"/>
          <w:numId w:val="26"/>
        </w:numPr>
        <w:pBdr>
          <w:bottom w:val="single" w:sz="4" w:space="1" w:color="auto"/>
        </w:pBdr>
        <w:spacing w:line="360" w:lineRule="auto"/>
        <w:rPr>
          <w:rFonts w:ascii="Circular Std Book" w:hAnsi="Circular Std Book" w:cs="Circular Std Book"/>
        </w:rPr>
      </w:pPr>
      <w:r w:rsidRPr="007C4970">
        <w:rPr>
          <w:rFonts w:ascii="Circular Std Book" w:hAnsi="Circular Std Book" w:cs="Circular Std Book"/>
        </w:rPr>
        <w:t xml:space="preserve">Women are less likely to be employed </w:t>
      </w:r>
      <w:r w:rsidR="00E079B2" w:rsidRPr="007C4970">
        <w:rPr>
          <w:rFonts w:ascii="Circular Std Book" w:hAnsi="Circular Std Book" w:cs="Circular Std Book"/>
        </w:rPr>
        <w:t>or earn</w:t>
      </w:r>
      <w:r w:rsidRPr="007C4970">
        <w:rPr>
          <w:rFonts w:ascii="Circular Std Book" w:hAnsi="Circular Std Book" w:cs="Circular Std Book"/>
        </w:rPr>
        <w:t xml:space="preserve"> high salaries compared to men.</w:t>
      </w:r>
    </w:p>
    <w:p w14:paraId="738A3FF8" w14:textId="77777777" w:rsidR="002D5865" w:rsidRPr="007C4970" w:rsidRDefault="009D1B64" w:rsidP="00BE2883">
      <w:pPr>
        <w:pStyle w:val="ListParagraph"/>
        <w:numPr>
          <w:ilvl w:val="0"/>
          <w:numId w:val="26"/>
        </w:numPr>
        <w:pBdr>
          <w:bottom w:val="single" w:sz="4" w:space="1" w:color="auto"/>
        </w:pBdr>
        <w:spacing w:line="360" w:lineRule="auto"/>
        <w:rPr>
          <w:rFonts w:ascii="Circular Std Book" w:hAnsi="Circular Std Book" w:cs="Circular Std Book"/>
        </w:rPr>
      </w:pPr>
      <w:r w:rsidRPr="007C4970">
        <w:rPr>
          <w:rFonts w:ascii="Circular Std Book" w:hAnsi="Circular Std Book" w:cs="Circular Std Book"/>
        </w:rPr>
        <w:t>I</w:t>
      </w:r>
      <w:r w:rsidR="002D5865" w:rsidRPr="007C4970">
        <w:rPr>
          <w:rFonts w:ascii="Circular Std Book" w:hAnsi="Circular Std Book" w:cs="Circular Std Book"/>
        </w:rPr>
        <w:t>n June 2019, there were 1,168 residential aged care places</w:t>
      </w:r>
      <w:r w:rsidR="00AF5DB9" w:rsidRPr="007C4970">
        <w:rPr>
          <w:rFonts w:ascii="Circular Std Book" w:hAnsi="Circular Std Book" w:cs="Circular Std Book"/>
        </w:rPr>
        <w:t>, which is higher than some other metropolitan council areas.</w:t>
      </w:r>
    </w:p>
    <w:p w14:paraId="19C51577" w14:textId="21613080" w:rsidR="00013D9B" w:rsidRDefault="00013D9B" w:rsidP="00A34483">
      <w:pPr>
        <w:rPr>
          <w:rFonts w:cs="Arial"/>
        </w:rPr>
      </w:pPr>
    </w:p>
    <w:p w14:paraId="288E67A2" w14:textId="5D68A396" w:rsidR="00F943D9" w:rsidRDefault="00F943D9" w:rsidP="00F943D9">
      <w:pPr>
        <w:jc w:val="center"/>
        <w:rPr>
          <w:rFonts w:cs="Arial"/>
        </w:rPr>
      </w:pPr>
    </w:p>
    <w:p w14:paraId="5C4D3409" w14:textId="406CF604" w:rsidR="00F943D9" w:rsidRPr="00B2525C" w:rsidRDefault="00612C3A" w:rsidP="00612C3A">
      <w:pPr>
        <w:jc w:val="center"/>
        <w:rPr>
          <w:rFonts w:cs="Arial"/>
        </w:rPr>
      </w:pPr>
      <w:r>
        <w:rPr>
          <w:rFonts w:cs="Arial"/>
          <w:noProof/>
        </w:rPr>
        <w:drawing>
          <wp:inline distT="0" distB="0" distL="0" distR="0" wp14:anchorId="2F26D065" wp14:editId="7EE8ACB3">
            <wp:extent cx="4753610" cy="363594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0AB5F.tmp"/>
                    <pic:cNvPicPr/>
                  </pic:nvPicPr>
                  <pic:blipFill>
                    <a:blip r:embed="rId56">
                      <a:extLst>
                        <a:ext uri="{28A0092B-C50C-407E-A947-70E740481C1C}">
                          <a14:useLocalDpi xmlns:a14="http://schemas.microsoft.com/office/drawing/2010/main" val="0"/>
                        </a:ext>
                      </a:extLst>
                    </a:blip>
                    <a:stretch>
                      <a:fillRect/>
                    </a:stretch>
                  </pic:blipFill>
                  <pic:spPr>
                    <a:xfrm>
                      <a:off x="0" y="0"/>
                      <a:ext cx="4766902" cy="3646112"/>
                    </a:xfrm>
                    <a:prstGeom prst="rect">
                      <a:avLst/>
                    </a:prstGeom>
                  </pic:spPr>
                </pic:pic>
              </a:graphicData>
            </a:graphic>
          </wp:inline>
        </w:drawing>
      </w:r>
    </w:p>
    <w:p w14:paraId="38D5402F" w14:textId="3CE9FE6D" w:rsidR="00A34483" w:rsidRDefault="00A34483" w:rsidP="00A34483">
      <w:pPr>
        <w:rPr>
          <w:rFonts w:cs="Arial"/>
        </w:rPr>
      </w:pPr>
      <w:r w:rsidRPr="00B2525C">
        <w:rPr>
          <w:rFonts w:cs="Arial"/>
        </w:rPr>
        <w:lastRenderedPageBreak/>
        <w:t>Living and working conditions are closely tied to health. Factors such as income, education, conditions of employment, strengthen or undermine the health of individuals and communities (AIHW</w:t>
      </w:r>
      <w:r w:rsidR="00C92E80" w:rsidRPr="00B2525C">
        <w:rPr>
          <w:rFonts w:cs="Arial"/>
        </w:rPr>
        <w:t>, 2016).</w:t>
      </w:r>
    </w:p>
    <w:p w14:paraId="680C2FA0" w14:textId="77777777" w:rsidR="000A7F4B" w:rsidRPr="00B2525C" w:rsidRDefault="000A7F4B" w:rsidP="00A34483">
      <w:pPr>
        <w:rPr>
          <w:rFonts w:cs="Arial"/>
        </w:rPr>
      </w:pPr>
    </w:p>
    <w:p w14:paraId="368C0430" w14:textId="63D6EF23" w:rsidR="00CD05CF" w:rsidRPr="00B2525C" w:rsidRDefault="007F2831" w:rsidP="00F6027F">
      <w:r w:rsidRPr="00B2525C">
        <w:rPr>
          <w:shd w:val="clear" w:color="auto" w:fill="FFFFFF"/>
        </w:rPr>
        <w:t xml:space="preserve">The social gradient in health is a term used to describe the phenomenon whereby people who are less advantaged in terms of socioeconomic position have worse health </w:t>
      </w:r>
      <w:r w:rsidR="000A7F4B">
        <w:rPr>
          <w:shd w:val="clear" w:color="auto" w:fill="FFFFFF"/>
        </w:rPr>
        <w:t>(</w:t>
      </w:r>
      <w:r w:rsidRPr="00B2525C">
        <w:rPr>
          <w:shd w:val="clear" w:color="auto" w:fill="FFFFFF"/>
        </w:rPr>
        <w:t xml:space="preserve">and </w:t>
      </w:r>
      <w:r w:rsidR="000A7F4B">
        <w:rPr>
          <w:shd w:val="clear" w:color="auto" w:fill="FFFFFF"/>
        </w:rPr>
        <w:t>die at younger ages</w:t>
      </w:r>
      <w:r w:rsidRPr="00B2525C">
        <w:rPr>
          <w:shd w:val="clear" w:color="auto" w:fill="FFFFFF"/>
        </w:rPr>
        <w:t>) than those who are more advantaged. The gradient means that for every incremental increase in socioeconomic position</w:t>
      </w:r>
      <w:r w:rsidR="003714D8">
        <w:rPr>
          <w:shd w:val="clear" w:color="auto" w:fill="FFFFFF"/>
        </w:rPr>
        <w:t>,</w:t>
      </w:r>
      <w:r w:rsidRPr="00B2525C">
        <w:rPr>
          <w:shd w:val="clear" w:color="auto" w:fill="FFFFFF"/>
        </w:rPr>
        <w:t xml:space="preserve"> there is an increase in health and wellbeing. </w:t>
      </w:r>
      <w:r w:rsidR="00C92E80" w:rsidRPr="00B2525C">
        <w:rPr>
          <w:color w:val="332D29"/>
        </w:rPr>
        <w:t>Socioeconomic disadvantage is the greatest cause of health inequality in Victoria and while the greatest relative difference in health status for population groups is between Aboriginal Victorian</w:t>
      </w:r>
      <w:r w:rsidR="003714D8">
        <w:rPr>
          <w:color w:val="332D29"/>
        </w:rPr>
        <w:t>s</w:t>
      </w:r>
      <w:r w:rsidR="00C92E80" w:rsidRPr="00B2525C">
        <w:rPr>
          <w:color w:val="332D29"/>
        </w:rPr>
        <w:t xml:space="preserve"> and non- Aboriginal Victorians, there are also health inequalities between other population groups (DHHS, 2015</w:t>
      </w:r>
      <w:r w:rsidR="00C92E80" w:rsidRPr="00B2525C">
        <w:t>).</w:t>
      </w:r>
    </w:p>
    <w:p w14:paraId="5C6224B2" w14:textId="77777777" w:rsidR="00116EEC" w:rsidRDefault="00116EEC" w:rsidP="007A7AC3">
      <w:pPr>
        <w:pStyle w:val="Heading2"/>
      </w:pPr>
      <w:bookmarkStart w:id="28" w:name="unemployment-indigenous-language"/>
      <w:bookmarkEnd w:id="24"/>
    </w:p>
    <w:p w14:paraId="2B30E581" w14:textId="3C26A3B8" w:rsidR="000A7F4B" w:rsidRPr="000A7F4B" w:rsidRDefault="003910F6" w:rsidP="00116EEC">
      <w:pPr>
        <w:pStyle w:val="Heading2"/>
      </w:pPr>
      <w:r w:rsidRPr="00B2525C">
        <w:t>Education</w:t>
      </w:r>
    </w:p>
    <w:p w14:paraId="0DE15943" w14:textId="191897B3" w:rsidR="000369B0" w:rsidRPr="00B2525C" w:rsidRDefault="00645C51" w:rsidP="000369B0">
      <w:pPr>
        <w:rPr>
          <w:rFonts w:cs="Arial"/>
        </w:rPr>
      </w:pPr>
      <w:r w:rsidRPr="00B2525C">
        <w:rPr>
          <w:rFonts w:cs="Arial"/>
        </w:rPr>
        <w:t xml:space="preserve">Education </w:t>
      </w:r>
      <w:r w:rsidR="001F4363" w:rsidRPr="00B2525C">
        <w:rPr>
          <w:rFonts w:cs="Arial"/>
        </w:rPr>
        <w:t>achievement</w:t>
      </w:r>
      <w:r w:rsidRPr="00B2525C">
        <w:rPr>
          <w:rFonts w:cs="Arial"/>
        </w:rPr>
        <w:t xml:space="preserve"> is a common measure of </w:t>
      </w:r>
      <w:r w:rsidR="00BF1D1A" w:rsidRPr="00B2525C">
        <w:rPr>
          <w:rFonts w:cs="Arial"/>
        </w:rPr>
        <w:t xml:space="preserve">socioeconomic position. </w:t>
      </w:r>
      <w:r w:rsidR="00D56A26" w:rsidRPr="00B2525C">
        <w:rPr>
          <w:rFonts w:cs="Arial"/>
        </w:rPr>
        <w:t xml:space="preserve">Those who receive a quality education and </w:t>
      </w:r>
      <w:r w:rsidR="003714D8">
        <w:rPr>
          <w:rFonts w:cs="Arial"/>
        </w:rPr>
        <w:t xml:space="preserve">obtain? </w:t>
      </w:r>
      <w:r w:rsidR="00D56A26" w:rsidRPr="00B2525C">
        <w:rPr>
          <w:rFonts w:cs="Arial"/>
        </w:rPr>
        <w:t>qualifications are more likely to attain higher</w:t>
      </w:r>
      <w:r w:rsidR="000A7F4B">
        <w:rPr>
          <w:rFonts w:cs="Arial"/>
        </w:rPr>
        <w:t xml:space="preserve"> </w:t>
      </w:r>
      <w:r w:rsidR="00D56A26" w:rsidRPr="00B2525C">
        <w:rPr>
          <w:rFonts w:cs="Arial"/>
        </w:rPr>
        <w:t>paying</w:t>
      </w:r>
      <w:r w:rsidR="000A7F4B">
        <w:rPr>
          <w:rFonts w:cs="Arial"/>
        </w:rPr>
        <w:t xml:space="preserve"> and</w:t>
      </w:r>
      <w:r w:rsidR="00D56A26" w:rsidRPr="00B2525C">
        <w:rPr>
          <w:rFonts w:cs="Arial"/>
        </w:rPr>
        <w:t xml:space="preserve"> secure jobs</w:t>
      </w:r>
      <w:r w:rsidR="000A7F4B">
        <w:rPr>
          <w:rFonts w:cs="Arial"/>
        </w:rPr>
        <w:t xml:space="preserve">, </w:t>
      </w:r>
      <w:r w:rsidR="00D56A26" w:rsidRPr="00B2525C">
        <w:rPr>
          <w:rFonts w:cs="Arial"/>
        </w:rPr>
        <w:t>rais</w:t>
      </w:r>
      <w:r w:rsidR="000A7F4B">
        <w:rPr>
          <w:rFonts w:cs="Arial"/>
        </w:rPr>
        <w:t>ing</w:t>
      </w:r>
      <w:r w:rsidR="00D56A26" w:rsidRPr="00B2525C">
        <w:rPr>
          <w:rFonts w:cs="Arial"/>
        </w:rPr>
        <w:t xml:space="preserve"> their socioeconomic status and thus, produce better health outcomes.</w:t>
      </w:r>
      <w:r w:rsidR="00BF1D1A" w:rsidRPr="00B2525C">
        <w:rPr>
          <w:rFonts w:cs="Arial"/>
        </w:rPr>
        <w:t xml:space="preserve"> </w:t>
      </w:r>
    </w:p>
    <w:p w14:paraId="192A1930" w14:textId="77777777" w:rsidR="000369B0" w:rsidRPr="00B2525C" w:rsidRDefault="000369B0" w:rsidP="000369B0">
      <w:pPr>
        <w:pStyle w:val="NoSpacing"/>
        <w:rPr>
          <w:rFonts w:ascii="Arial" w:hAnsi="Arial" w:cs="Arial"/>
        </w:rPr>
      </w:pPr>
    </w:p>
    <w:p w14:paraId="7F15029A" w14:textId="77777777" w:rsidR="000369B0" w:rsidRDefault="000369B0" w:rsidP="000369B0">
      <w:pPr>
        <w:rPr>
          <w:rFonts w:cs="Arial"/>
        </w:rPr>
      </w:pPr>
      <w:r w:rsidRPr="00B2525C">
        <w:rPr>
          <w:rFonts w:cs="Arial"/>
        </w:rPr>
        <w:t xml:space="preserve">Data from the 2016 Census shows that there are higher levels of educational attainment in Moonee Valley when compared to Greater Melbourne. About 31 per cent of </w:t>
      </w:r>
      <w:r w:rsidR="00C92E80" w:rsidRPr="00B2525C">
        <w:rPr>
          <w:rFonts w:cs="Arial"/>
        </w:rPr>
        <w:t>adults</w:t>
      </w:r>
      <w:r w:rsidRPr="00B2525C">
        <w:rPr>
          <w:rFonts w:cs="Arial"/>
        </w:rPr>
        <w:t xml:space="preserve"> in Moonee Valley have a bachelor degree or higher, compared to 27.5 per cent for Greater Melbourne.</w:t>
      </w:r>
      <w:r w:rsidR="00AF5DB9" w:rsidRPr="00B2525C">
        <w:rPr>
          <w:rFonts w:cs="Arial"/>
        </w:rPr>
        <w:t xml:space="preserve"> Approximately 20% of Moonee Valley adults highest level of education was </w:t>
      </w:r>
      <w:r w:rsidR="00DA4C07" w:rsidRPr="00B2525C">
        <w:rPr>
          <w:rFonts w:cs="Arial"/>
        </w:rPr>
        <w:t>below Year 1</w:t>
      </w:r>
      <w:r w:rsidR="00470C03" w:rsidRPr="00B2525C">
        <w:rPr>
          <w:rFonts w:cs="Arial"/>
        </w:rPr>
        <w:t>2</w:t>
      </w:r>
      <w:r w:rsidR="00DA4C07" w:rsidRPr="00B2525C">
        <w:rPr>
          <w:rFonts w:cs="Arial"/>
        </w:rPr>
        <w:t>.</w:t>
      </w:r>
    </w:p>
    <w:p w14:paraId="6411C8AD" w14:textId="77777777" w:rsidR="007C4970" w:rsidRDefault="007C4970" w:rsidP="000369B0">
      <w:pPr>
        <w:rPr>
          <w:rFonts w:cs="Arial"/>
        </w:rPr>
      </w:pPr>
    </w:p>
    <w:p w14:paraId="194C8312" w14:textId="7BAC33F9" w:rsidR="007C4970" w:rsidRPr="007C4970" w:rsidRDefault="000052A8" w:rsidP="007C4970">
      <w:pPr>
        <w:rPr>
          <w:rFonts w:cs="Arial"/>
        </w:rPr>
      </w:pPr>
      <w:r w:rsidRPr="00BB25FB">
        <w:rPr>
          <w:rFonts w:cs="Arial"/>
          <w:b/>
        </w:rPr>
        <w:t>Figure</w:t>
      </w:r>
      <w:r w:rsidR="00B93B84">
        <w:rPr>
          <w:rFonts w:cs="Arial"/>
          <w:b/>
        </w:rPr>
        <w:t xml:space="preserve"> 30.</w:t>
      </w:r>
      <w:r w:rsidR="007C4970" w:rsidRPr="007C4970">
        <w:rPr>
          <w:rFonts w:eastAsiaTheme="minorEastAsia" w:cs="Circular Std Book"/>
          <w:color w:val="595959"/>
          <w:kern w:val="24"/>
          <w:lang w:eastAsia="en-AU"/>
          <w14:textFill>
            <w14:solidFill>
              <w14:srgbClr w14:val="595959">
                <w14:lumMod w14:val="65000"/>
                <w14:lumOff w14:val="35000"/>
              </w14:srgbClr>
            </w14:solidFill>
          </w14:textFill>
        </w:rPr>
        <w:t xml:space="preserve"> </w:t>
      </w:r>
      <w:r w:rsidR="007C4970" w:rsidRPr="007C4970">
        <w:rPr>
          <w:rFonts w:cs="Arial"/>
        </w:rPr>
        <w:t>Highest level of educational attainment, Moonee Valley compared to Greater Melbourne</w:t>
      </w:r>
    </w:p>
    <w:p w14:paraId="50AFE752" w14:textId="77777777" w:rsidR="000369B0" w:rsidRPr="00B2525C" w:rsidRDefault="000369B0" w:rsidP="000369B0">
      <w:pPr>
        <w:pStyle w:val="NoSpacing"/>
        <w:rPr>
          <w:rFonts w:ascii="Arial" w:hAnsi="Arial" w:cs="Arial"/>
        </w:rPr>
      </w:pPr>
      <w:r w:rsidRPr="00B2525C">
        <w:rPr>
          <w:rFonts w:ascii="Arial" w:hAnsi="Arial" w:cs="Arial"/>
          <w:noProof/>
        </w:rPr>
        <w:lastRenderedPageBreak/>
        <w:drawing>
          <wp:inline distT="0" distB="0" distL="0" distR="0" wp14:anchorId="3D0B3D95" wp14:editId="248F6B59">
            <wp:extent cx="5775960" cy="3508745"/>
            <wp:effectExtent l="0" t="0" r="0" b="0"/>
            <wp:docPr id="12" name="Chart 12">
              <a:extLst xmlns:a="http://schemas.openxmlformats.org/drawingml/2006/main">
                <a:ext uri="{FF2B5EF4-FFF2-40B4-BE49-F238E27FC236}">
                  <a16:creationId xmlns:a16="http://schemas.microsoft.com/office/drawing/2014/main" id="{142EC7E8-F3D5-4368-8148-1F72E1E57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74A1C32" w14:textId="77777777" w:rsidR="000369B0" w:rsidRPr="00B2525C" w:rsidRDefault="000369B0" w:rsidP="000369B0">
      <w:pPr>
        <w:pStyle w:val="Caption"/>
        <w:rPr>
          <w:rFonts w:cs="Arial"/>
        </w:rPr>
      </w:pPr>
      <w:r w:rsidRPr="00B2525C">
        <w:rPr>
          <w:rFonts w:cs="Arial"/>
        </w:rPr>
        <w:t>Source: ABS, Census 2016</w:t>
      </w:r>
    </w:p>
    <w:p w14:paraId="42AEC47F" w14:textId="3051B37A" w:rsidR="00BC4A74" w:rsidRDefault="00506643" w:rsidP="007A7AC3">
      <w:pPr>
        <w:pStyle w:val="Heading2"/>
      </w:pPr>
      <w:r w:rsidRPr="0001191C">
        <w:rPr>
          <w:noProof/>
        </w:rPr>
        <w:drawing>
          <wp:inline distT="0" distB="0" distL="0" distR="0" wp14:anchorId="495F1DC5" wp14:editId="6105EF39">
            <wp:extent cx="540000" cy="5361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54"/>
                    <a:stretch/>
                  </pic:blipFill>
                  <pic:spPr bwMode="auto">
                    <a:xfrm>
                      <a:off x="0" y="0"/>
                      <a:ext cx="540000" cy="536197"/>
                    </a:xfrm>
                    <a:prstGeom prst="rect">
                      <a:avLst/>
                    </a:prstGeom>
                    <a:ln>
                      <a:noFill/>
                    </a:ln>
                    <a:extLst>
                      <a:ext uri="{53640926-AAD7-44D8-BBD7-CCE9431645EC}">
                        <a14:shadowObscured xmlns:a14="http://schemas.microsoft.com/office/drawing/2010/main"/>
                      </a:ext>
                    </a:extLst>
                  </pic:spPr>
                </pic:pic>
              </a:graphicData>
            </a:graphic>
          </wp:inline>
        </w:drawing>
      </w:r>
      <w:r w:rsidR="00BC4A74" w:rsidRPr="00B2525C">
        <w:t>Employment</w:t>
      </w:r>
    </w:p>
    <w:p w14:paraId="45B50172" w14:textId="77777777" w:rsidR="000A7F4B" w:rsidRDefault="000A7F4B" w:rsidP="00A85DA8">
      <w:pPr>
        <w:rPr>
          <w:rFonts w:cs="Arial"/>
        </w:rPr>
      </w:pPr>
    </w:p>
    <w:p w14:paraId="4C054CED" w14:textId="617401CC" w:rsidR="0009749A" w:rsidRDefault="00D56A26" w:rsidP="00A85DA8">
      <w:pPr>
        <w:rPr>
          <w:rFonts w:cs="Arial"/>
        </w:rPr>
      </w:pPr>
      <w:r w:rsidRPr="00B2525C">
        <w:rPr>
          <w:rFonts w:cs="Arial"/>
        </w:rPr>
        <w:t>Employment is a</w:t>
      </w:r>
      <w:r w:rsidR="00BF1D1A" w:rsidRPr="00B2525C">
        <w:rPr>
          <w:rFonts w:cs="Arial"/>
        </w:rPr>
        <w:t>nother common measure of socioeconomic position.</w:t>
      </w:r>
      <w:r w:rsidRPr="00B2525C">
        <w:rPr>
          <w:rFonts w:cs="Arial"/>
        </w:rPr>
        <w:t xml:space="preserve"> </w:t>
      </w:r>
      <w:r w:rsidR="00BF1D1A" w:rsidRPr="00B2525C">
        <w:rPr>
          <w:rFonts w:cs="Arial"/>
        </w:rPr>
        <w:t xml:space="preserve">Employment </w:t>
      </w:r>
      <w:r w:rsidRPr="00B2525C">
        <w:rPr>
          <w:rFonts w:cs="Arial"/>
        </w:rPr>
        <w:t xml:space="preserve">provides income, sense of purpose and </w:t>
      </w:r>
      <w:r w:rsidR="00470C03" w:rsidRPr="00B2525C">
        <w:rPr>
          <w:rFonts w:cs="Arial"/>
        </w:rPr>
        <w:t xml:space="preserve">can </w:t>
      </w:r>
      <w:r w:rsidRPr="00B2525C">
        <w:rPr>
          <w:rFonts w:cs="Arial"/>
        </w:rPr>
        <w:t>reduce psychological stress</w:t>
      </w:r>
      <w:r w:rsidR="00470C03" w:rsidRPr="00B2525C">
        <w:rPr>
          <w:rFonts w:cs="Arial"/>
        </w:rPr>
        <w:t xml:space="preserve">. </w:t>
      </w:r>
      <w:r w:rsidR="00C92E80" w:rsidRPr="00B2525C">
        <w:rPr>
          <w:rFonts w:cs="Arial"/>
        </w:rPr>
        <w:t>A</w:t>
      </w:r>
      <w:r w:rsidR="00AD4226" w:rsidRPr="00B2525C">
        <w:rPr>
          <w:rFonts w:cs="Arial"/>
        </w:rPr>
        <w:t>dults</w:t>
      </w:r>
      <w:r w:rsidR="00C92E80" w:rsidRPr="00B2525C">
        <w:rPr>
          <w:rFonts w:cs="Arial"/>
        </w:rPr>
        <w:t xml:space="preserve"> </w:t>
      </w:r>
      <w:r w:rsidRPr="00B2525C">
        <w:rPr>
          <w:rFonts w:cs="Arial"/>
        </w:rPr>
        <w:t>who are unemployed have a higher risk of death, illness</w:t>
      </w:r>
      <w:r w:rsidR="00470C03" w:rsidRPr="00B2525C">
        <w:rPr>
          <w:rFonts w:cs="Arial"/>
        </w:rPr>
        <w:t>,</w:t>
      </w:r>
      <w:r w:rsidRPr="00B2525C">
        <w:rPr>
          <w:rFonts w:cs="Arial"/>
        </w:rPr>
        <w:t xml:space="preserve"> and disability </w:t>
      </w:r>
      <w:r w:rsidR="00AD4226" w:rsidRPr="00B2525C">
        <w:rPr>
          <w:rFonts w:cs="Arial"/>
        </w:rPr>
        <w:t>compared to people who are employed. In addition</w:t>
      </w:r>
      <w:r w:rsidR="000A7F4B">
        <w:rPr>
          <w:rFonts w:cs="Arial"/>
        </w:rPr>
        <w:t>,</w:t>
      </w:r>
      <w:r w:rsidR="00AD4226" w:rsidRPr="00B2525C">
        <w:rPr>
          <w:rFonts w:cs="Arial"/>
        </w:rPr>
        <w:t xml:space="preserve"> unemployment can cause </w:t>
      </w:r>
      <w:r w:rsidRPr="00B2525C">
        <w:rPr>
          <w:rFonts w:cs="Arial"/>
        </w:rPr>
        <w:t>psychological challenges</w:t>
      </w:r>
      <w:r w:rsidR="00904FCB">
        <w:rPr>
          <w:rFonts w:cs="Arial"/>
        </w:rPr>
        <w:t>,</w:t>
      </w:r>
      <w:r w:rsidRPr="00B2525C">
        <w:rPr>
          <w:rFonts w:cs="Arial"/>
        </w:rPr>
        <w:t xml:space="preserve"> </w:t>
      </w:r>
      <w:r w:rsidR="00AD4226" w:rsidRPr="00B2525C">
        <w:rPr>
          <w:rFonts w:cs="Arial"/>
        </w:rPr>
        <w:t xml:space="preserve">impacting negatively on </w:t>
      </w:r>
      <w:r w:rsidRPr="00B2525C">
        <w:rPr>
          <w:rFonts w:cs="Arial"/>
        </w:rPr>
        <w:t>mental health (</w:t>
      </w:r>
      <w:r w:rsidR="002A6AB7" w:rsidRPr="00B2525C">
        <w:rPr>
          <w:rFonts w:cs="Arial"/>
        </w:rPr>
        <w:t>AIHW</w:t>
      </w:r>
      <w:r w:rsidRPr="00B2525C">
        <w:rPr>
          <w:rFonts w:cs="Arial"/>
        </w:rPr>
        <w:t>, 2016).</w:t>
      </w:r>
    </w:p>
    <w:p w14:paraId="02650A20" w14:textId="77777777" w:rsidR="00BB25FB" w:rsidRPr="00B2525C" w:rsidRDefault="00BB25FB" w:rsidP="00A85DA8">
      <w:pPr>
        <w:rPr>
          <w:rFonts w:cs="Arial"/>
        </w:rPr>
      </w:pPr>
    </w:p>
    <w:p w14:paraId="794221EC" w14:textId="77777777" w:rsidR="00AD4226" w:rsidRDefault="005B298D" w:rsidP="00BE2883">
      <w:r w:rsidRPr="00B2525C">
        <w:t>Data from the 2016 Census shows that there are similar employment levels in Moonee Valley when compared to Greater Melbourne. About 60 per cent of those in the labour force work full time, while about 30 per cent work part time.</w:t>
      </w:r>
      <w:r w:rsidR="00AD4226" w:rsidRPr="00B2525C">
        <w:t xml:space="preserve"> The proportion of Moonee Valley adults in the work force has remained largely unchanged according to previous census years (i.e. Full time = 62</w:t>
      </w:r>
      <w:r w:rsidR="0017290D" w:rsidRPr="00B2525C">
        <w:t>per cent</w:t>
      </w:r>
      <w:r w:rsidR="00AD4226" w:rsidRPr="00B2525C">
        <w:t xml:space="preserve"> in 2006, 61</w:t>
      </w:r>
      <w:r w:rsidR="0017290D" w:rsidRPr="00B2525C">
        <w:t>per cent</w:t>
      </w:r>
      <w:r w:rsidR="00AD4226" w:rsidRPr="00B2525C">
        <w:t xml:space="preserve"> in 2011;</w:t>
      </w:r>
      <w:r w:rsidR="0029000B" w:rsidRPr="00B2525C">
        <w:t xml:space="preserve"> </w:t>
      </w:r>
      <w:r w:rsidR="00AD4226" w:rsidRPr="00B2525C">
        <w:t>Part Time = 27</w:t>
      </w:r>
      <w:r w:rsidR="0017290D" w:rsidRPr="00B2525C">
        <w:t>per cent</w:t>
      </w:r>
      <w:r w:rsidR="00AD4226" w:rsidRPr="00B2525C">
        <w:t xml:space="preserve"> in 2006, 28.7</w:t>
      </w:r>
      <w:r w:rsidR="0017290D" w:rsidRPr="00B2525C">
        <w:t>per cent</w:t>
      </w:r>
      <w:r w:rsidR="00AD4226" w:rsidRPr="00B2525C">
        <w:t xml:space="preserve"> in 2011)</w:t>
      </w:r>
    </w:p>
    <w:p w14:paraId="791C52B2" w14:textId="77777777" w:rsidR="007C4970" w:rsidRDefault="007C4970" w:rsidP="00BE2883"/>
    <w:p w14:paraId="4E9D6016" w14:textId="5B69B32C" w:rsidR="005B298D" w:rsidRPr="00BB25FB" w:rsidRDefault="000052A8" w:rsidP="005B298D">
      <w:r w:rsidRPr="00BB25FB">
        <w:rPr>
          <w:b/>
        </w:rPr>
        <w:t>Figure</w:t>
      </w:r>
      <w:r w:rsidR="00B93B84">
        <w:t xml:space="preserve"> 31. </w:t>
      </w:r>
      <w:r w:rsidR="007C4970">
        <w:t xml:space="preserve"> </w:t>
      </w:r>
      <w:r w:rsidR="007C4970" w:rsidRPr="007C4970">
        <w:t>Employment type for those in the labour force, Moonee Valley compared to Greater Melbourne</w:t>
      </w:r>
    </w:p>
    <w:p w14:paraId="067C1BB7" w14:textId="77777777" w:rsidR="005B298D" w:rsidRPr="00B2525C" w:rsidRDefault="0036408A" w:rsidP="0036408A">
      <w:pPr>
        <w:pStyle w:val="NoSpacing"/>
        <w:rPr>
          <w:rFonts w:ascii="Arial" w:hAnsi="Arial" w:cs="Arial"/>
        </w:rPr>
      </w:pPr>
      <w:r w:rsidRPr="00B2525C">
        <w:rPr>
          <w:rFonts w:ascii="Arial" w:hAnsi="Arial" w:cs="Arial"/>
          <w:noProof/>
        </w:rPr>
        <w:lastRenderedPageBreak/>
        <w:drawing>
          <wp:inline distT="0" distB="0" distL="0" distR="0" wp14:anchorId="6E188787" wp14:editId="3E144040">
            <wp:extent cx="6056768" cy="3829616"/>
            <wp:effectExtent l="0" t="0" r="1270" b="0"/>
            <wp:docPr id="30" name="Chart 30">
              <a:extLst xmlns:a="http://schemas.openxmlformats.org/drawingml/2006/main">
                <a:ext uri="{FF2B5EF4-FFF2-40B4-BE49-F238E27FC236}">
                  <a16:creationId xmlns:a16="http://schemas.microsoft.com/office/drawing/2014/main" id="{4DFFC37D-8F3A-44A7-90C7-C1DC8187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23FE849" w14:textId="77777777" w:rsidR="0036408A" w:rsidRPr="00B2525C" w:rsidRDefault="0036408A" w:rsidP="0036408A">
      <w:pPr>
        <w:pStyle w:val="Caption"/>
        <w:rPr>
          <w:rFonts w:cs="Arial"/>
        </w:rPr>
      </w:pPr>
      <w:r w:rsidRPr="00B2525C">
        <w:rPr>
          <w:rFonts w:cs="Arial"/>
        </w:rPr>
        <w:t>Source: ABS, Census 2016</w:t>
      </w:r>
    </w:p>
    <w:p w14:paraId="48BF2A2F" w14:textId="77777777" w:rsidR="00BF1D1A" w:rsidRPr="00B2525C" w:rsidRDefault="00BF1D1A" w:rsidP="00BC4A74">
      <w:pPr>
        <w:rPr>
          <w:rFonts w:cs="Arial"/>
        </w:rPr>
      </w:pPr>
    </w:p>
    <w:p w14:paraId="68C23BF7" w14:textId="77777777" w:rsidR="00F6027F" w:rsidRDefault="00F6027F" w:rsidP="00BF1D1A">
      <w:pPr>
        <w:pStyle w:val="Heading4"/>
        <w:rPr>
          <w:rFonts w:cs="Arial"/>
        </w:rPr>
      </w:pPr>
      <w:r>
        <w:rPr>
          <w:rFonts w:cs="Arial"/>
        </w:rPr>
        <w:br w:type="page"/>
      </w:r>
    </w:p>
    <w:p w14:paraId="7E836C56" w14:textId="4E0F2342" w:rsidR="00EC4E90" w:rsidRPr="00B2525C" w:rsidRDefault="004414F3" w:rsidP="00BF1D1A">
      <w:pPr>
        <w:pStyle w:val="Heading4"/>
        <w:rPr>
          <w:rFonts w:cs="Arial"/>
        </w:rPr>
      </w:pPr>
      <w:r w:rsidRPr="00B2525C">
        <w:rPr>
          <w:rFonts w:cs="Arial"/>
        </w:rPr>
        <w:lastRenderedPageBreak/>
        <w:t>People experiencing u</w:t>
      </w:r>
      <w:r w:rsidR="00B01D14" w:rsidRPr="00B2525C">
        <w:rPr>
          <w:rFonts w:cs="Arial"/>
        </w:rPr>
        <w:t>nemployment</w:t>
      </w:r>
      <w:bookmarkEnd w:id="28"/>
    </w:p>
    <w:p w14:paraId="12E017E1" w14:textId="2E8842B9" w:rsidR="00EC4E90" w:rsidRDefault="00B01D14">
      <w:pPr>
        <w:rPr>
          <w:rFonts w:cs="Arial"/>
        </w:rPr>
      </w:pPr>
      <w:r w:rsidRPr="00B2525C">
        <w:rPr>
          <w:rFonts w:cs="Arial"/>
        </w:rPr>
        <w:t xml:space="preserve">The unemployment rate in the City of Moonee Valley has generally been lower than </w:t>
      </w:r>
      <w:r w:rsidR="00837FDE" w:rsidRPr="00B2525C">
        <w:rPr>
          <w:rFonts w:cs="Arial"/>
        </w:rPr>
        <w:t>that of</w:t>
      </w:r>
      <w:r w:rsidRPr="00B2525C">
        <w:rPr>
          <w:rFonts w:cs="Arial"/>
        </w:rPr>
        <w:t xml:space="preserve"> Greater Melbourne</w:t>
      </w:r>
      <w:r w:rsidR="00837FDE" w:rsidRPr="00B2525C">
        <w:rPr>
          <w:rFonts w:cs="Arial"/>
        </w:rPr>
        <w:t xml:space="preserve"> since 2012</w:t>
      </w:r>
      <w:r w:rsidRPr="00B2525C">
        <w:rPr>
          <w:rFonts w:cs="Arial"/>
        </w:rPr>
        <w:t xml:space="preserve">. </w:t>
      </w:r>
      <w:r w:rsidR="00AD4226" w:rsidRPr="00B2525C">
        <w:rPr>
          <w:rFonts w:cs="Arial"/>
        </w:rPr>
        <w:t>It should be noted that t</w:t>
      </w:r>
      <w:r w:rsidRPr="00B2525C">
        <w:rPr>
          <w:rFonts w:cs="Arial"/>
        </w:rPr>
        <w:t xml:space="preserve">he dataset runs to March 2020 and </w:t>
      </w:r>
      <w:r w:rsidR="00706F35" w:rsidRPr="00B2525C">
        <w:rPr>
          <w:rFonts w:cs="Arial"/>
        </w:rPr>
        <w:t>thus does not</w:t>
      </w:r>
      <w:r w:rsidRPr="00B2525C">
        <w:rPr>
          <w:rFonts w:cs="Arial"/>
        </w:rPr>
        <w:t xml:space="preserve"> reflect the </w:t>
      </w:r>
      <w:r w:rsidR="00706F35" w:rsidRPr="00B2525C">
        <w:rPr>
          <w:rFonts w:cs="Arial"/>
        </w:rPr>
        <w:t xml:space="preserve">full </w:t>
      </w:r>
      <w:r w:rsidRPr="00B2525C">
        <w:rPr>
          <w:rFonts w:cs="Arial"/>
        </w:rPr>
        <w:t xml:space="preserve">impacts </w:t>
      </w:r>
      <w:r w:rsidR="00904FCB">
        <w:rPr>
          <w:rFonts w:cs="Arial"/>
        </w:rPr>
        <w:t>of the</w:t>
      </w:r>
      <w:r w:rsidRPr="00B2525C">
        <w:rPr>
          <w:rFonts w:cs="Arial"/>
        </w:rPr>
        <w:t xml:space="preserve"> </w:t>
      </w:r>
      <w:r w:rsidR="005D542F" w:rsidRPr="00B2525C">
        <w:rPr>
          <w:rFonts w:cs="Arial"/>
        </w:rPr>
        <w:t>COVID-19</w:t>
      </w:r>
      <w:r w:rsidR="00904FCB">
        <w:rPr>
          <w:rFonts w:cs="Arial"/>
        </w:rPr>
        <w:t xml:space="preserve"> pandemic</w:t>
      </w:r>
      <w:r w:rsidR="00706F35" w:rsidRPr="00B2525C">
        <w:rPr>
          <w:rFonts w:cs="Arial"/>
        </w:rPr>
        <w:t>.</w:t>
      </w:r>
    </w:p>
    <w:p w14:paraId="3A00D74C" w14:textId="77777777" w:rsidR="00F6027F" w:rsidRDefault="00F6027F">
      <w:pPr>
        <w:rPr>
          <w:rFonts w:cs="Arial"/>
        </w:rPr>
      </w:pPr>
    </w:p>
    <w:p w14:paraId="4D50602A" w14:textId="2AA31A6F" w:rsidR="007C4970" w:rsidRPr="00B2525C" w:rsidRDefault="000052A8">
      <w:pPr>
        <w:rPr>
          <w:rFonts w:cs="Arial"/>
        </w:rPr>
      </w:pPr>
      <w:r w:rsidRPr="00BB25FB">
        <w:rPr>
          <w:rFonts w:cs="Arial"/>
          <w:b/>
        </w:rPr>
        <w:t>Figure</w:t>
      </w:r>
      <w:r w:rsidR="00B93B84">
        <w:rPr>
          <w:rFonts w:cs="Arial"/>
          <w:b/>
        </w:rPr>
        <w:t xml:space="preserve"> 32.</w:t>
      </w:r>
      <w:r w:rsidR="007C4970">
        <w:rPr>
          <w:rFonts w:cs="Arial"/>
        </w:rPr>
        <w:t xml:space="preserve"> </w:t>
      </w:r>
      <w:r w:rsidR="007C4970" w:rsidRPr="007C4970">
        <w:rPr>
          <w:rFonts w:cs="Arial"/>
        </w:rPr>
        <w:t>Quarterly unemployment rates, Moonee Valley compared to Greater Melbourne, Dec 2010 - Mar 2020</w:t>
      </w:r>
    </w:p>
    <w:p w14:paraId="1F861822" w14:textId="77777777" w:rsidR="00EC4E90" w:rsidRPr="00B2525C" w:rsidRDefault="00883B79">
      <w:pPr>
        <w:rPr>
          <w:rFonts w:cs="Arial"/>
        </w:rPr>
      </w:pPr>
      <w:r w:rsidRPr="00B2525C">
        <w:rPr>
          <w:rFonts w:cs="Arial"/>
          <w:noProof/>
        </w:rPr>
        <w:drawing>
          <wp:inline distT="0" distB="0" distL="0" distR="0" wp14:anchorId="29F1BAFB" wp14:editId="399EFFF5">
            <wp:extent cx="6177516" cy="2625725"/>
            <wp:effectExtent l="0" t="0" r="13970" b="3175"/>
            <wp:docPr id="233" name="Chart 233">
              <a:extLst xmlns:a="http://schemas.openxmlformats.org/drawingml/2006/main">
                <a:ext uri="{FF2B5EF4-FFF2-40B4-BE49-F238E27FC236}">
                  <a16:creationId xmlns:a16="http://schemas.microsoft.com/office/drawing/2014/main" id="{453BDDBE-DFA9-41A5-A9D3-26B9E437F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C5612BB" w14:textId="1EB31B70" w:rsidR="00706F35" w:rsidRPr="00B2525C" w:rsidRDefault="00883B79" w:rsidP="00506643">
      <w:pPr>
        <w:pStyle w:val="Caption"/>
        <w:rPr>
          <w:rFonts w:cs="Arial"/>
        </w:rPr>
      </w:pPr>
      <w:r w:rsidRPr="00B2525C">
        <w:rPr>
          <w:rFonts w:cs="Arial"/>
        </w:rPr>
        <w:t>Source: Small Area Labour Markets, Department of Education, Skills and Employment, 2020</w:t>
      </w:r>
    </w:p>
    <w:p w14:paraId="03FD87DC" w14:textId="77777777" w:rsidR="00506643" w:rsidRDefault="00506643" w:rsidP="00BF1D1A">
      <w:pPr>
        <w:pStyle w:val="Heading4"/>
        <w:rPr>
          <w:noProof/>
        </w:rPr>
      </w:pPr>
      <w:bookmarkStart w:id="29" w:name="gender-inequality-indigenous-language"/>
      <w:bookmarkStart w:id="30" w:name="housing-indigenous-language"/>
    </w:p>
    <w:p w14:paraId="4D1970AA" w14:textId="0F8BDF2D" w:rsidR="00BC4A74" w:rsidRPr="00B2525C" w:rsidRDefault="00BC4A74" w:rsidP="00BF1D1A">
      <w:pPr>
        <w:pStyle w:val="Heading4"/>
        <w:rPr>
          <w:rFonts w:cs="Arial"/>
        </w:rPr>
      </w:pPr>
      <w:r w:rsidRPr="00B2525C">
        <w:rPr>
          <w:rFonts w:cs="Arial"/>
        </w:rPr>
        <w:t xml:space="preserve">Gender </w:t>
      </w:r>
      <w:r w:rsidR="00645C51" w:rsidRPr="00B2525C">
        <w:rPr>
          <w:rFonts w:cs="Arial"/>
        </w:rPr>
        <w:t>differences in employment</w:t>
      </w:r>
      <w:r w:rsidR="009F709A" w:rsidRPr="00B2525C">
        <w:rPr>
          <w:rFonts w:cs="Arial"/>
        </w:rPr>
        <w:t xml:space="preserve"> and income</w:t>
      </w:r>
      <w:r w:rsidR="00645C51" w:rsidRPr="00B2525C">
        <w:rPr>
          <w:rFonts w:cs="Arial"/>
        </w:rPr>
        <w:t xml:space="preserve"> </w:t>
      </w:r>
      <w:bookmarkEnd w:id="29"/>
    </w:p>
    <w:p w14:paraId="640416B4" w14:textId="77777777" w:rsidR="007C4970" w:rsidRDefault="00BC4A74" w:rsidP="00BC4A74">
      <w:pPr>
        <w:rPr>
          <w:rFonts w:cs="Arial"/>
        </w:rPr>
      </w:pPr>
      <w:r w:rsidRPr="00B2525C">
        <w:rPr>
          <w:rFonts w:cs="Arial"/>
        </w:rPr>
        <w:t xml:space="preserve">Data from the 2016 Census shows that females </w:t>
      </w:r>
      <w:r w:rsidR="00CE3AF7" w:rsidRPr="00B2525C">
        <w:rPr>
          <w:rFonts w:cs="Arial"/>
        </w:rPr>
        <w:t xml:space="preserve">in Moonee Valley </w:t>
      </w:r>
      <w:r w:rsidRPr="00B2525C">
        <w:rPr>
          <w:rFonts w:cs="Arial"/>
        </w:rPr>
        <w:t>do more unpaid work (housework</w:t>
      </w:r>
      <w:r w:rsidR="00883B79" w:rsidRPr="00B2525C">
        <w:rPr>
          <w:rFonts w:cs="Arial"/>
        </w:rPr>
        <w:t>, carer responsibilities and volunteer work</w:t>
      </w:r>
      <w:r w:rsidRPr="00B2525C">
        <w:rPr>
          <w:rFonts w:cs="Arial"/>
        </w:rPr>
        <w:t xml:space="preserve">), </w:t>
      </w:r>
      <w:r w:rsidR="00164281">
        <w:rPr>
          <w:rFonts w:cs="Arial"/>
        </w:rPr>
        <w:t xml:space="preserve">and </w:t>
      </w:r>
      <w:r w:rsidRPr="00B2525C">
        <w:rPr>
          <w:rFonts w:cs="Arial"/>
        </w:rPr>
        <w:t>hav</w:t>
      </w:r>
      <w:r w:rsidR="00164281">
        <w:rPr>
          <w:rFonts w:cs="Arial"/>
        </w:rPr>
        <w:t xml:space="preserve">e </w:t>
      </w:r>
      <w:r w:rsidRPr="00B2525C">
        <w:rPr>
          <w:rFonts w:cs="Arial"/>
        </w:rPr>
        <w:t>lower incomes</w:t>
      </w:r>
      <w:r w:rsidR="00164281">
        <w:rPr>
          <w:rFonts w:cs="Arial"/>
        </w:rPr>
        <w:t xml:space="preserve"> and </w:t>
      </w:r>
      <w:r w:rsidRPr="00B2525C">
        <w:rPr>
          <w:rFonts w:cs="Arial"/>
        </w:rPr>
        <w:t>less likely to participate in the labour force</w:t>
      </w:r>
      <w:r w:rsidR="009F709A" w:rsidRPr="00B2525C">
        <w:rPr>
          <w:rFonts w:cs="Arial"/>
        </w:rPr>
        <w:t>, than their male counterparts</w:t>
      </w:r>
      <w:r w:rsidRPr="00B2525C">
        <w:rPr>
          <w:rFonts w:cs="Arial"/>
        </w:rPr>
        <w:t>.</w:t>
      </w:r>
    </w:p>
    <w:p w14:paraId="0BE7D547" w14:textId="50263E60" w:rsidR="007C4970" w:rsidRPr="00B2525C" w:rsidRDefault="000052A8" w:rsidP="00BC4A74">
      <w:pPr>
        <w:rPr>
          <w:rFonts w:cs="Arial"/>
        </w:rPr>
      </w:pPr>
      <w:r>
        <w:rPr>
          <w:rFonts w:cs="Arial"/>
        </w:rPr>
        <w:t>Figure</w:t>
      </w:r>
      <w:r w:rsidR="00B93B84">
        <w:rPr>
          <w:rFonts w:cs="Arial"/>
        </w:rPr>
        <w:t xml:space="preserve"> 33.</w:t>
      </w:r>
      <w:r w:rsidR="007C4970" w:rsidRPr="007C4970">
        <w:rPr>
          <w:rFonts w:eastAsiaTheme="minorEastAsia" w:cs="Circular Std Book"/>
          <w:color w:val="595959"/>
          <w:kern w:val="24"/>
          <w:sz w:val="24"/>
          <w:szCs w:val="24"/>
          <w:lang w:eastAsia="en-AU"/>
          <w14:textFill>
            <w14:solidFill>
              <w14:srgbClr w14:val="595959">
                <w14:lumMod w14:val="65000"/>
                <w14:lumOff w14:val="35000"/>
              </w14:srgbClr>
            </w14:solidFill>
          </w14:textFill>
        </w:rPr>
        <w:t xml:space="preserve"> </w:t>
      </w:r>
      <w:r w:rsidR="007C4970" w:rsidRPr="007C4970">
        <w:rPr>
          <w:rFonts w:cs="Arial"/>
        </w:rPr>
        <w:t>Moonee Valley gender differences in employment and income</w:t>
      </w:r>
    </w:p>
    <w:p w14:paraId="57EDCF1F" w14:textId="77777777" w:rsidR="00BC4A74" w:rsidRPr="00B2525C" w:rsidRDefault="00650DB9" w:rsidP="006A4C24">
      <w:pPr>
        <w:pStyle w:val="NoSpacing"/>
        <w:rPr>
          <w:rFonts w:ascii="Arial" w:hAnsi="Arial" w:cs="Arial"/>
        </w:rPr>
      </w:pPr>
      <w:r w:rsidRPr="00B2525C">
        <w:rPr>
          <w:rFonts w:ascii="Arial" w:hAnsi="Arial" w:cs="Arial"/>
          <w:noProof/>
        </w:rPr>
        <w:drawing>
          <wp:inline distT="0" distB="0" distL="0" distR="0" wp14:anchorId="23CE2C81" wp14:editId="378E03D1">
            <wp:extent cx="6305107" cy="2040890"/>
            <wp:effectExtent l="0" t="0" r="635" b="0"/>
            <wp:docPr id="22" name="Chart 22">
              <a:extLst xmlns:a="http://schemas.openxmlformats.org/drawingml/2006/main">
                <a:ext uri="{FF2B5EF4-FFF2-40B4-BE49-F238E27FC236}">
                  <a16:creationId xmlns:a16="http://schemas.microsoft.com/office/drawing/2014/main" id="{797BB5EE-98C6-4367-90A7-BA91C23F5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92FB94B" w14:textId="77777777" w:rsidR="00164281" w:rsidRPr="00164281" w:rsidRDefault="00164281" w:rsidP="00164281">
      <w:pPr>
        <w:rPr>
          <w:rFonts w:cs="Arial"/>
          <w:sz w:val="20"/>
          <w:szCs w:val="20"/>
        </w:rPr>
      </w:pPr>
      <w:r w:rsidRPr="00164281">
        <w:rPr>
          <w:rFonts w:cs="Arial"/>
          <w:sz w:val="20"/>
          <w:szCs w:val="20"/>
        </w:rPr>
        <w:t>Note: The labour force participation rate is the proportion of the population aged 15 years and over that are in the labour force (i.e. either in work, or looking for work).</w:t>
      </w:r>
    </w:p>
    <w:p w14:paraId="16E454B4" w14:textId="77777777" w:rsidR="006A4C24" w:rsidRPr="00B2525C" w:rsidRDefault="006A4C24" w:rsidP="006A4C24">
      <w:pPr>
        <w:pStyle w:val="Caption"/>
        <w:rPr>
          <w:rFonts w:cs="Arial"/>
        </w:rPr>
      </w:pPr>
      <w:r w:rsidRPr="00B2525C">
        <w:rPr>
          <w:rFonts w:cs="Arial"/>
        </w:rPr>
        <w:t>Source: ABS, Census 2016</w:t>
      </w:r>
    </w:p>
    <w:p w14:paraId="50924ACA" w14:textId="4DFD0BCE" w:rsidR="006612DD" w:rsidRDefault="00506643" w:rsidP="00FB0840">
      <w:pPr>
        <w:pStyle w:val="Heading3"/>
        <w:rPr>
          <w:rFonts w:cs="Arial"/>
          <w:highlight w:val="yellow"/>
        </w:rPr>
      </w:pPr>
      <w:r w:rsidRPr="0001191C">
        <w:rPr>
          <w:noProof/>
        </w:rPr>
        <w:lastRenderedPageBreak/>
        <w:drawing>
          <wp:inline distT="0" distB="0" distL="0" distR="0" wp14:anchorId="7FBAC430" wp14:editId="3B055AED">
            <wp:extent cx="540000" cy="55173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55" r="2547" b="1398"/>
                    <a:stretch/>
                  </pic:blipFill>
                  <pic:spPr bwMode="auto">
                    <a:xfrm>
                      <a:off x="0" y="0"/>
                      <a:ext cx="540000" cy="551739"/>
                    </a:xfrm>
                    <a:prstGeom prst="rect">
                      <a:avLst/>
                    </a:prstGeom>
                    <a:ln>
                      <a:noFill/>
                    </a:ln>
                    <a:extLst>
                      <a:ext uri="{53640926-AAD7-44D8-BBD7-CCE9431645EC}">
                        <a14:shadowObscured xmlns:a14="http://schemas.microsoft.com/office/drawing/2010/main"/>
                      </a:ext>
                    </a:extLst>
                  </pic:spPr>
                </pic:pic>
              </a:graphicData>
            </a:graphic>
          </wp:inline>
        </w:drawing>
      </w:r>
      <w:r w:rsidR="006612DD" w:rsidRPr="00BB25FB">
        <w:rPr>
          <w:rStyle w:val="Heading2Char"/>
        </w:rPr>
        <w:t xml:space="preserve">Housing </w:t>
      </w:r>
    </w:p>
    <w:p w14:paraId="174C1994" w14:textId="77777777" w:rsidR="00BB25FB" w:rsidRPr="00BB25FB" w:rsidRDefault="00BB25FB" w:rsidP="00BB25FB"/>
    <w:p w14:paraId="5D7DEF59" w14:textId="77777777" w:rsidR="0023418B" w:rsidRPr="00B2525C" w:rsidRDefault="0023418B" w:rsidP="00F6027F">
      <w:pPr>
        <w:rPr>
          <w:lang w:val="en-US"/>
        </w:rPr>
      </w:pPr>
      <w:bookmarkStart w:id="31" w:name="affordable-housing"/>
      <w:r w:rsidRPr="00B2525C">
        <w:t xml:space="preserve">Having access to safe, secure and affordable housing is crucial </w:t>
      </w:r>
      <w:r w:rsidR="0068470E" w:rsidRPr="00B2525C">
        <w:t>for</w:t>
      </w:r>
      <w:r w:rsidRPr="00B2525C">
        <w:t xml:space="preserve"> health and wellbeing and an important precondition for participation in employment, education and the community </w:t>
      </w:r>
      <w:r w:rsidR="0068470E" w:rsidRPr="00B2525C">
        <w:t>(</w:t>
      </w:r>
      <w:r w:rsidRPr="00B2525C">
        <w:t>AIHW</w:t>
      </w:r>
      <w:r w:rsidR="002D0481" w:rsidRPr="00B2525C">
        <w:t xml:space="preserve">, </w:t>
      </w:r>
      <w:r w:rsidRPr="00B2525C">
        <w:t>2016)</w:t>
      </w:r>
      <w:r w:rsidR="002D0481" w:rsidRPr="00B2525C">
        <w:t>.</w:t>
      </w:r>
    </w:p>
    <w:p w14:paraId="43540618" w14:textId="77777777" w:rsidR="006612DD" w:rsidRPr="00B2525C" w:rsidRDefault="006612DD" w:rsidP="006612DD">
      <w:pPr>
        <w:pStyle w:val="NoSpacing"/>
        <w:rPr>
          <w:rFonts w:ascii="Arial" w:hAnsi="Arial" w:cs="Arial"/>
        </w:rPr>
      </w:pPr>
    </w:p>
    <w:p w14:paraId="097A9B9E" w14:textId="77777777" w:rsidR="006612DD" w:rsidRPr="00BB25FB" w:rsidRDefault="0023418B" w:rsidP="00BB25FB">
      <w:pPr>
        <w:pStyle w:val="Heading3"/>
      </w:pPr>
      <w:r w:rsidRPr="00BB25FB">
        <w:t>Home ownership</w:t>
      </w:r>
    </w:p>
    <w:p w14:paraId="3FB0A828" w14:textId="77777777" w:rsidR="006612DD" w:rsidRDefault="009F709A" w:rsidP="006612DD">
      <w:pPr>
        <w:rPr>
          <w:rFonts w:cs="Arial"/>
        </w:rPr>
      </w:pPr>
      <w:r w:rsidRPr="00B2525C">
        <w:rPr>
          <w:rFonts w:cs="Arial"/>
        </w:rPr>
        <w:t>In 2016, a</w:t>
      </w:r>
      <w:r w:rsidR="006612DD" w:rsidRPr="00B2525C">
        <w:rPr>
          <w:rFonts w:cs="Arial"/>
        </w:rPr>
        <w:t xml:space="preserve">bout two-thirds of dwellings </w:t>
      </w:r>
      <w:r w:rsidRPr="00B2525C">
        <w:rPr>
          <w:rFonts w:cs="Arial"/>
        </w:rPr>
        <w:t>were</w:t>
      </w:r>
      <w:r w:rsidR="006612DD" w:rsidRPr="00B2525C">
        <w:rPr>
          <w:rFonts w:cs="Arial"/>
        </w:rPr>
        <w:t xml:space="preserve"> owned in Moonee Valley. Of these, 35 per cent </w:t>
      </w:r>
      <w:r w:rsidR="0009749A" w:rsidRPr="00B2525C">
        <w:rPr>
          <w:rFonts w:cs="Arial"/>
        </w:rPr>
        <w:t xml:space="preserve">were </w:t>
      </w:r>
      <w:r w:rsidR="006612DD" w:rsidRPr="00B2525C">
        <w:rPr>
          <w:rFonts w:cs="Arial"/>
        </w:rPr>
        <w:t xml:space="preserve">owned outright, while 29 per cent </w:t>
      </w:r>
      <w:r w:rsidR="0009749A" w:rsidRPr="00B2525C">
        <w:rPr>
          <w:rFonts w:cs="Arial"/>
        </w:rPr>
        <w:t xml:space="preserve">were </w:t>
      </w:r>
      <w:r w:rsidR="006612DD" w:rsidRPr="00B2525C">
        <w:rPr>
          <w:rFonts w:cs="Arial"/>
        </w:rPr>
        <w:t xml:space="preserve">owned with a mortgage. 32.5 per cent of homes </w:t>
      </w:r>
      <w:r w:rsidR="0009749A" w:rsidRPr="00B2525C">
        <w:rPr>
          <w:rFonts w:cs="Arial"/>
        </w:rPr>
        <w:t>were</w:t>
      </w:r>
      <w:r w:rsidR="006612DD" w:rsidRPr="00B2525C">
        <w:rPr>
          <w:rFonts w:cs="Arial"/>
        </w:rPr>
        <w:t xml:space="preserve"> rented (of the rented dwellings, about 14 per cent </w:t>
      </w:r>
      <w:r w:rsidR="00C65977" w:rsidRPr="00B2525C">
        <w:rPr>
          <w:rFonts w:cs="Arial"/>
        </w:rPr>
        <w:t>were</w:t>
      </w:r>
      <w:r w:rsidR="006612DD" w:rsidRPr="00B2525C">
        <w:rPr>
          <w:rFonts w:cs="Arial"/>
        </w:rPr>
        <w:t xml:space="preserve"> social housing). There </w:t>
      </w:r>
      <w:r w:rsidR="00164281">
        <w:rPr>
          <w:rFonts w:cs="Arial"/>
        </w:rPr>
        <w:t>is</w:t>
      </w:r>
      <w:r w:rsidR="006612DD" w:rsidRPr="00B2525C">
        <w:rPr>
          <w:rFonts w:cs="Arial"/>
        </w:rPr>
        <w:t xml:space="preserve"> a higher proportion of those who own their home outright in Moonee Valley compared to Greater Melbourne. Census data also shows that Aboriginal and Torres Strait Islander people are almost twice as likely to rent compared to the non-Indigenous population (59 per cent compared to 32 per cent).</w:t>
      </w:r>
    </w:p>
    <w:p w14:paraId="772FE35D" w14:textId="77777777" w:rsidR="00BD3DEF" w:rsidRDefault="00BD3DEF" w:rsidP="006612DD">
      <w:pPr>
        <w:rPr>
          <w:rFonts w:cs="Arial"/>
        </w:rPr>
      </w:pPr>
    </w:p>
    <w:p w14:paraId="03326904" w14:textId="6741607F" w:rsidR="00BD3DEF" w:rsidRPr="00B2525C" w:rsidRDefault="000052A8" w:rsidP="006612DD">
      <w:pPr>
        <w:rPr>
          <w:rFonts w:cs="Arial"/>
        </w:rPr>
      </w:pPr>
      <w:r w:rsidRPr="00BB25FB">
        <w:rPr>
          <w:rFonts w:cs="Arial"/>
          <w:b/>
        </w:rPr>
        <w:t>Figure</w:t>
      </w:r>
      <w:r w:rsidR="00B93B84">
        <w:rPr>
          <w:rFonts w:cs="Arial"/>
          <w:b/>
        </w:rPr>
        <w:t xml:space="preserve"> 34</w:t>
      </w:r>
      <w:r w:rsidR="00B93B84">
        <w:rPr>
          <w:rFonts w:cs="Arial"/>
        </w:rPr>
        <w:t>.</w:t>
      </w:r>
      <w:r w:rsidR="00BD3DEF" w:rsidRPr="00BD3DEF">
        <w:rPr>
          <w:rFonts w:eastAsiaTheme="minorEastAsia" w:cs="Circular Std Book"/>
          <w:color w:val="595959"/>
          <w:kern w:val="24"/>
          <w:sz w:val="24"/>
          <w:szCs w:val="24"/>
          <w:lang w:eastAsia="en-AU"/>
          <w14:textFill>
            <w14:solidFill>
              <w14:srgbClr w14:val="595959">
                <w14:lumMod w14:val="65000"/>
                <w14:lumOff w14:val="35000"/>
              </w14:srgbClr>
            </w14:solidFill>
          </w14:textFill>
        </w:rPr>
        <w:t xml:space="preserve"> </w:t>
      </w:r>
      <w:r w:rsidR="00BD3DEF" w:rsidRPr="00BD3DEF">
        <w:rPr>
          <w:rFonts w:cs="Arial"/>
        </w:rPr>
        <w:t>Housing Tenure in Moonee Valley compared to Greater Melbourne</w:t>
      </w:r>
    </w:p>
    <w:p w14:paraId="3FF3663E" w14:textId="77777777" w:rsidR="006612DD" w:rsidRPr="00B2525C" w:rsidRDefault="006612DD" w:rsidP="006612DD">
      <w:pPr>
        <w:pStyle w:val="NoSpacing"/>
        <w:rPr>
          <w:rFonts w:ascii="Arial" w:hAnsi="Arial" w:cs="Arial"/>
        </w:rPr>
      </w:pPr>
      <w:r w:rsidRPr="00B2525C">
        <w:rPr>
          <w:rFonts w:ascii="Arial" w:hAnsi="Arial" w:cs="Arial"/>
          <w:noProof/>
        </w:rPr>
        <w:drawing>
          <wp:inline distT="0" distB="0" distL="0" distR="0" wp14:anchorId="5E35302E" wp14:editId="39864AF3">
            <wp:extent cx="6038850" cy="2551814"/>
            <wp:effectExtent l="0" t="0" r="0" b="1270"/>
            <wp:docPr id="83" name="Chart 83">
              <a:extLst xmlns:a="http://schemas.openxmlformats.org/drawingml/2006/main">
                <a:ext uri="{FF2B5EF4-FFF2-40B4-BE49-F238E27FC236}">
                  <a16:creationId xmlns:a16="http://schemas.microsoft.com/office/drawing/2014/main" id="{7501D160-8F5F-4C1B-A36E-E3B9FF35C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7A61D4F" w14:textId="77777777" w:rsidR="006612DD" w:rsidRPr="00B2525C" w:rsidRDefault="006612DD" w:rsidP="006612DD">
      <w:pPr>
        <w:pStyle w:val="Caption"/>
        <w:rPr>
          <w:rFonts w:cs="Arial"/>
        </w:rPr>
      </w:pPr>
      <w:r w:rsidRPr="00B2525C">
        <w:rPr>
          <w:rFonts w:cs="Arial"/>
        </w:rPr>
        <w:t>Source: ABS, Census 2016</w:t>
      </w:r>
    </w:p>
    <w:p w14:paraId="3ABF46CD" w14:textId="77777777" w:rsidR="0048041F" w:rsidRPr="00B2525C" w:rsidRDefault="0048041F" w:rsidP="0048041F">
      <w:pPr>
        <w:rPr>
          <w:rFonts w:cs="Arial"/>
        </w:rPr>
      </w:pPr>
      <w:bookmarkStart w:id="32" w:name="_Hlk55467328"/>
    </w:p>
    <w:p w14:paraId="570BFDEA" w14:textId="77777777" w:rsidR="00BD3DEF" w:rsidRPr="00BD3DEF" w:rsidRDefault="006612DD" w:rsidP="00BD3DEF">
      <w:pPr>
        <w:pStyle w:val="Heading3"/>
        <w:rPr>
          <w:rFonts w:cs="Arial"/>
        </w:rPr>
      </w:pPr>
      <w:r w:rsidRPr="00B2525C">
        <w:rPr>
          <w:rFonts w:cs="Arial"/>
        </w:rPr>
        <w:t xml:space="preserve">Cost of </w:t>
      </w:r>
      <w:r w:rsidR="002A53F6" w:rsidRPr="00B2525C">
        <w:rPr>
          <w:rFonts w:cs="Arial"/>
        </w:rPr>
        <w:t>h</w:t>
      </w:r>
      <w:r w:rsidRPr="00B2525C">
        <w:rPr>
          <w:rFonts w:cs="Arial"/>
        </w:rPr>
        <w:t>ousing</w:t>
      </w:r>
    </w:p>
    <w:p w14:paraId="0218D2E0" w14:textId="77777777" w:rsidR="0009749A" w:rsidRPr="00B2525C" w:rsidRDefault="0009749A" w:rsidP="0009749A">
      <w:pPr>
        <w:rPr>
          <w:rFonts w:cs="Arial"/>
        </w:rPr>
      </w:pPr>
      <w:r w:rsidRPr="00B2525C">
        <w:rPr>
          <w:rFonts w:cs="Arial"/>
        </w:rPr>
        <w:t>T</w:t>
      </w:r>
      <w:r w:rsidR="0048041F" w:rsidRPr="00B2525C">
        <w:rPr>
          <w:rFonts w:cs="Arial"/>
        </w:rPr>
        <w:t>here are several suburbs within Moonee Valley where houses cost approximately double the Melbourne average</w:t>
      </w:r>
      <w:r w:rsidRPr="00B2525C">
        <w:rPr>
          <w:rFonts w:cs="Arial"/>
        </w:rPr>
        <w:t xml:space="preserve">. </w:t>
      </w:r>
      <w:r w:rsidR="00C65977" w:rsidRPr="00B2525C">
        <w:rPr>
          <w:rFonts w:cs="Arial"/>
        </w:rPr>
        <w:t>In 2020-21, t</w:t>
      </w:r>
      <w:r w:rsidRPr="00B2525C">
        <w:rPr>
          <w:rFonts w:cs="Arial"/>
        </w:rPr>
        <w:t xml:space="preserve">he highest median house sale price in the </w:t>
      </w:r>
      <w:r w:rsidR="003C03BE" w:rsidRPr="00B2525C">
        <w:rPr>
          <w:rFonts w:cs="Arial"/>
        </w:rPr>
        <w:t>municipality</w:t>
      </w:r>
      <w:r w:rsidRPr="00B2525C">
        <w:rPr>
          <w:rFonts w:cs="Arial"/>
        </w:rPr>
        <w:t xml:space="preserve"> was in </w:t>
      </w:r>
      <w:r w:rsidR="003C03BE" w:rsidRPr="00B2525C">
        <w:rPr>
          <w:rFonts w:cs="Arial"/>
        </w:rPr>
        <w:t>Strathmore</w:t>
      </w:r>
      <w:r w:rsidRPr="00B2525C">
        <w:rPr>
          <w:rFonts w:cs="Arial"/>
        </w:rPr>
        <w:t xml:space="preserve"> ($1.425 million) and the lowest in Airport West </w:t>
      </w:r>
      <w:r w:rsidR="003C03BE" w:rsidRPr="00B2525C">
        <w:rPr>
          <w:rFonts w:cs="Arial"/>
        </w:rPr>
        <w:t>(</w:t>
      </w:r>
      <w:r w:rsidRPr="00B2525C">
        <w:rPr>
          <w:rFonts w:cs="Arial"/>
        </w:rPr>
        <w:t>$765,000</w:t>
      </w:r>
      <w:r w:rsidR="003C03BE" w:rsidRPr="00B2525C">
        <w:rPr>
          <w:rFonts w:cs="Arial"/>
        </w:rPr>
        <w:t>). For rentals, the highest median rent per week was in Ascot Vale ($</w:t>
      </w:r>
      <w:proofErr w:type="gramStart"/>
      <w:r w:rsidR="003C03BE" w:rsidRPr="00B2525C">
        <w:rPr>
          <w:rFonts w:cs="Arial"/>
        </w:rPr>
        <w:t>578 )</w:t>
      </w:r>
      <w:proofErr w:type="gramEnd"/>
      <w:r w:rsidR="003C03BE" w:rsidRPr="00B2525C">
        <w:rPr>
          <w:rFonts w:cs="Arial"/>
        </w:rPr>
        <w:t xml:space="preserve"> compared to the lowest in Avondale Heights ( $435 per week).</w:t>
      </w:r>
    </w:p>
    <w:p w14:paraId="0D5E9F30" w14:textId="77777777" w:rsidR="003C03BE" w:rsidRDefault="003C03BE" w:rsidP="0009749A">
      <w:pPr>
        <w:rPr>
          <w:rFonts w:cs="Arial"/>
        </w:rPr>
      </w:pPr>
    </w:p>
    <w:p w14:paraId="020DB6AE" w14:textId="77777777" w:rsidR="00BB25FB" w:rsidRDefault="00BB25FB" w:rsidP="0009749A">
      <w:pPr>
        <w:rPr>
          <w:rFonts w:cs="Arial"/>
        </w:rPr>
      </w:pPr>
    </w:p>
    <w:p w14:paraId="6325EB34" w14:textId="77777777" w:rsidR="00BB25FB" w:rsidRDefault="00BB25FB" w:rsidP="0009749A">
      <w:pPr>
        <w:rPr>
          <w:rFonts w:cs="Arial"/>
        </w:rPr>
      </w:pPr>
    </w:p>
    <w:p w14:paraId="40BD1A5C" w14:textId="77777777" w:rsidR="00BB25FB" w:rsidRDefault="00BB25FB" w:rsidP="0009749A">
      <w:pPr>
        <w:rPr>
          <w:rFonts w:cs="Arial"/>
        </w:rPr>
      </w:pPr>
    </w:p>
    <w:p w14:paraId="31A91E8E" w14:textId="2FDBA7EB" w:rsidR="00BD3DEF" w:rsidRPr="00B2525C" w:rsidRDefault="00BD3DEF" w:rsidP="0009749A">
      <w:pPr>
        <w:rPr>
          <w:rFonts w:cs="Arial"/>
        </w:rPr>
      </w:pPr>
      <w:r w:rsidRPr="00BB25FB">
        <w:rPr>
          <w:rFonts w:cs="Arial"/>
          <w:b/>
        </w:rPr>
        <w:t>Table</w:t>
      </w:r>
      <w:r w:rsidR="00904FCB">
        <w:rPr>
          <w:rFonts w:cs="Arial"/>
          <w:b/>
        </w:rPr>
        <w:t xml:space="preserve"> </w:t>
      </w:r>
      <w:r w:rsidR="00283EAE">
        <w:rPr>
          <w:rFonts w:cs="Arial"/>
          <w:b/>
        </w:rPr>
        <w:t>5</w:t>
      </w:r>
      <w:r>
        <w:rPr>
          <w:rFonts w:cs="Arial"/>
        </w:rPr>
        <w:t xml:space="preserve">: </w:t>
      </w:r>
      <w:r w:rsidRPr="00D652E9">
        <w:rPr>
          <w:rFonts w:cs="Arial"/>
        </w:rPr>
        <w:t>Cost of housing and renting summary for Moonee Valley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652E9" w:rsidRPr="00D652E9" w14:paraId="3E60FFEC" w14:textId="77777777" w:rsidTr="00D652E9">
        <w:tc>
          <w:tcPr>
            <w:tcW w:w="9020" w:type="dxa"/>
          </w:tcPr>
          <w:p w14:paraId="4005ECFA" w14:textId="77777777" w:rsidR="00D652E9" w:rsidRPr="00D652E9" w:rsidRDefault="00BD3DEF" w:rsidP="00BB25FB">
            <w:pPr>
              <w:spacing w:line="360" w:lineRule="auto"/>
              <w:rPr>
                <w:rFonts w:cs="Arial"/>
              </w:rPr>
            </w:pPr>
            <w:r>
              <w:rPr>
                <w:rFonts w:cs="Arial"/>
              </w:rPr>
              <w:t>Housing and rental prices</w:t>
            </w:r>
          </w:p>
        </w:tc>
      </w:tr>
      <w:tr w:rsidR="00D652E9" w:rsidRPr="00D652E9" w14:paraId="7AB4F126" w14:textId="77777777" w:rsidTr="00D652E9">
        <w:tc>
          <w:tcPr>
            <w:tcW w:w="9020" w:type="dxa"/>
          </w:tcPr>
          <w:p w14:paraId="2A46D70E" w14:textId="77777777" w:rsidR="00D652E9" w:rsidRPr="00D652E9" w:rsidRDefault="00D652E9" w:rsidP="00BB25FB">
            <w:pPr>
              <w:pStyle w:val="ListParagraph"/>
              <w:numPr>
                <w:ilvl w:val="0"/>
                <w:numId w:val="15"/>
              </w:numPr>
              <w:spacing w:before="0" w:line="360" w:lineRule="auto"/>
              <w:rPr>
                <w:rFonts w:ascii="Arial" w:hAnsi="Arial" w:cs="Arial"/>
              </w:rPr>
            </w:pPr>
            <w:r w:rsidRPr="00D652E9">
              <w:rPr>
                <w:rFonts w:ascii="Arial" w:hAnsi="Arial" w:cs="Arial"/>
              </w:rPr>
              <w:t xml:space="preserve">Municipal median house price = $960,000 </w:t>
            </w:r>
          </w:p>
        </w:tc>
      </w:tr>
      <w:tr w:rsidR="00D652E9" w:rsidRPr="00D652E9" w14:paraId="74789F17" w14:textId="77777777" w:rsidTr="00D652E9">
        <w:tc>
          <w:tcPr>
            <w:tcW w:w="9020" w:type="dxa"/>
          </w:tcPr>
          <w:p w14:paraId="0A94406F" w14:textId="77777777" w:rsidR="00D652E9" w:rsidRPr="00D652E9" w:rsidRDefault="00D652E9" w:rsidP="00BB25FB">
            <w:pPr>
              <w:pStyle w:val="ListParagraph"/>
              <w:numPr>
                <w:ilvl w:val="0"/>
                <w:numId w:val="16"/>
              </w:numPr>
              <w:spacing w:before="0" w:line="360" w:lineRule="auto"/>
              <w:rPr>
                <w:rFonts w:ascii="Arial" w:hAnsi="Arial" w:cs="Arial"/>
              </w:rPr>
            </w:pPr>
            <w:r w:rsidRPr="00D652E9">
              <w:rPr>
                <w:rFonts w:ascii="Arial" w:hAnsi="Arial" w:cs="Arial"/>
              </w:rPr>
              <w:t xml:space="preserve">highest median sale price = Strathmore - $1.425 million </w:t>
            </w:r>
          </w:p>
        </w:tc>
      </w:tr>
      <w:tr w:rsidR="00D652E9" w:rsidRPr="00D652E9" w14:paraId="7E28CE6B" w14:textId="77777777" w:rsidTr="00D652E9">
        <w:tc>
          <w:tcPr>
            <w:tcW w:w="9020" w:type="dxa"/>
          </w:tcPr>
          <w:p w14:paraId="527C1B1B" w14:textId="77777777" w:rsidR="00D652E9" w:rsidRPr="00D652E9" w:rsidRDefault="00D652E9" w:rsidP="00BB25FB">
            <w:pPr>
              <w:pStyle w:val="ListParagraph"/>
              <w:numPr>
                <w:ilvl w:val="0"/>
                <w:numId w:val="16"/>
              </w:numPr>
              <w:spacing w:before="0" w:line="360" w:lineRule="auto"/>
              <w:rPr>
                <w:rFonts w:ascii="Arial" w:hAnsi="Arial" w:cs="Arial"/>
              </w:rPr>
            </w:pPr>
            <w:r w:rsidRPr="00D652E9">
              <w:rPr>
                <w:rFonts w:ascii="Arial" w:hAnsi="Arial" w:cs="Arial"/>
              </w:rPr>
              <w:t>lowest median sale price = Airport West - $765,000</w:t>
            </w:r>
          </w:p>
        </w:tc>
      </w:tr>
      <w:tr w:rsidR="00D652E9" w:rsidRPr="00D652E9" w14:paraId="25A13BC0" w14:textId="77777777" w:rsidTr="00D652E9">
        <w:tc>
          <w:tcPr>
            <w:tcW w:w="9020" w:type="dxa"/>
          </w:tcPr>
          <w:p w14:paraId="7E83E97C" w14:textId="77777777" w:rsidR="00D652E9" w:rsidRPr="00D652E9" w:rsidRDefault="00D652E9" w:rsidP="00BB25FB">
            <w:pPr>
              <w:pStyle w:val="ListParagraph"/>
              <w:numPr>
                <w:ilvl w:val="0"/>
                <w:numId w:val="16"/>
              </w:numPr>
              <w:spacing w:before="0" w:line="360" w:lineRule="auto"/>
              <w:rPr>
                <w:rFonts w:ascii="Arial" w:hAnsi="Arial" w:cs="Arial"/>
              </w:rPr>
            </w:pPr>
            <w:r w:rsidRPr="00D652E9">
              <w:rPr>
                <w:rFonts w:ascii="Arial" w:hAnsi="Arial" w:cs="Arial"/>
              </w:rPr>
              <w:t xml:space="preserve">Municipal median rental = $500 </w:t>
            </w:r>
          </w:p>
        </w:tc>
      </w:tr>
      <w:tr w:rsidR="00D652E9" w:rsidRPr="00D652E9" w14:paraId="3CAFAECF" w14:textId="77777777" w:rsidTr="00D652E9">
        <w:tc>
          <w:tcPr>
            <w:tcW w:w="9020" w:type="dxa"/>
          </w:tcPr>
          <w:p w14:paraId="357DF869" w14:textId="77777777" w:rsidR="00D652E9" w:rsidRPr="00D652E9" w:rsidRDefault="00D652E9" w:rsidP="00BB25FB">
            <w:pPr>
              <w:pStyle w:val="ListParagraph"/>
              <w:numPr>
                <w:ilvl w:val="0"/>
                <w:numId w:val="16"/>
              </w:numPr>
              <w:spacing w:before="0" w:line="360" w:lineRule="auto"/>
              <w:rPr>
                <w:rFonts w:ascii="Arial" w:hAnsi="Arial" w:cs="Arial"/>
              </w:rPr>
            </w:pPr>
            <w:r w:rsidRPr="00D652E9">
              <w:rPr>
                <w:rFonts w:ascii="Arial" w:hAnsi="Arial" w:cs="Arial"/>
              </w:rPr>
              <w:t xml:space="preserve">highest median rent = Ascot Vale - $578 </w:t>
            </w:r>
          </w:p>
        </w:tc>
      </w:tr>
      <w:tr w:rsidR="00D652E9" w:rsidRPr="00D652E9" w14:paraId="2741C088" w14:textId="77777777" w:rsidTr="00BB25FB">
        <w:trPr>
          <w:trHeight w:val="87"/>
        </w:trPr>
        <w:tc>
          <w:tcPr>
            <w:tcW w:w="9020" w:type="dxa"/>
          </w:tcPr>
          <w:p w14:paraId="3AD20CCC" w14:textId="77777777" w:rsidR="00D652E9" w:rsidRPr="00D652E9" w:rsidRDefault="00D652E9" w:rsidP="00BB25FB">
            <w:pPr>
              <w:pStyle w:val="ListParagraph"/>
              <w:numPr>
                <w:ilvl w:val="0"/>
                <w:numId w:val="16"/>
              </w:numPr>
              <w:spacing w:before="0" w:line="360" w:lineRule="auto"/>
              <w:rPr>
                <w:rFonts w:ascii="Arial" w:hAnsi="Arial" w:cs="Arial"/>
              </w:rPr>
            </w:pPr>
            <w:r w:rsidRPr="00D652E9">
              <w:rPr>
                <w:rFonts w:ascii="Arial" w:hAnsi="Arial" w:cs="Arial"/>
              </w:rPr>
              <w:t>lowest median rent = Avondale Heights - $435</w:t>
            </w:r>
          </w:p>
        </w:tc>
      </w:tr>
    </w:tbl>
    <w:p w14:paraId="2083F3C1" w14:textId="77777777" w:rsidR="0009749A" w:rsidRDefault="0009749A" w:rsidP="0048041F">
      <w:pPr>
        <w:rPr>
          <w:rFonts w:cs="Arial"/>
        </w:rPr>
      </w:pPr>
      <w:r w:rsidRPr="00B2525C">
        <w:rPr>
          <w:rFonts w:cs="Arial"/>
        </w:rPr>
        <w:t>(</w:t>
      </w:r>
      <w:proofErr w:type="spellStart"/>
      <w:r w:rsidRPr="00B2525C">
        <w:rPr>
          <w:rFonts w:cs="Arial"/>
        </w:rPr>
        <w:t>Remplan</w:t>
      </w:r>
      <w:proofErr w:type="spellEnd"/>
      <w:r w:rsidRPr="00B2525C">
        <w:rPr>
          <w:rFonts w:cs="Arial"/>
        </w:rPr>
        <w:t>, 2021)</w:t>
      </w:r>
    </w:p>
    <w:p w14:paraId="012AFE7F" w14:textId="77777777" w:rsidR="00BB25FB" w:rsidRPr="00B2525C" w:rsidRDefault="00BB25FB" w:rsidP="0048041F">
      <w:pPr>
        <w:rPr>
          <w:rFonts w:cs="Arial"/>
        </w:rPr>
      </w:pPr>
    </w:p>
    <w:p w14:paraId="6971F745" w14:textId="77777777" w:rsidR="00BD3DEF" w:rsidRPr="00BD3DEF" w:rsidRDefault="001D67CA" w:rsidP="00BD3DEF">
      <w:pPr>
        <w:pStyle w:val="Heading3"/>
        <w:rPr>
          <w:rFonts w:eastAsia="Times New Roman" w:cs="Arial"/>
          <w:lang w:eastAsia="en-AU"/>
        </w:rPr>
      </w:pPr>
      <w:r w:rsidRPr="00B2525C">
        <w:rPr>
          <w:rFonts w:eastAsia="Times New Roman" w:cs="Arial"/>
          <w:lang w:eastAsia="en-AU"/>
        </w:rPr>
        <w:t xml:space="preserve">Housing </w:t>
      </w:r>
      <w:r w:rsidR="002A53F6" w:rsidRPr="00B2525C">
        <w:rPr>
          <w:rFonts w:eastAsia="Times New Roman" w:cs="Arial"/>
          <w:lang w:eastAsia="en-AU"/>
        </w:rPr>
        <w:t>s</w:t>
      </w:r>
      <w:r w:rsidRPr="00B2525C">
        <w:rPr>
          <w:rFonts w:eastAsia="Times New Roman" w:cs="Arial"/>
          <w:lang w:eastAsia="en-AU"/>
        </w:rPr>
        <w:t>tress</w:t>
      </w:r>
    </w:p>
    <w:p w14:paraId="5428078E" w14:textId="77777777" w:rsidR="006A205D" w:rsidRPr="00164281" w:rsidRDefault="006A205D" w:rsidP="00164281">
      <w:pPr>
        <w:shd w:val="clear" w:color="auto" w:fill="FFFFFF"/>
        <w:spacing w:after="150"/>
        <w:rPr>
          <w:rFonts w:eastAsia="Times New Roman" w:cs="Arial"/>
          <w:color w:val="333333"/>
          <w:lang w:eastAsia="en-AU"/>
        </w:rPr>
      </w:pPr>
      <w:r w:rsidRPr="00B2525C">
        <w:rPr>
          <w:rFonts w:eastAsia="Times New Roman" w:cs="Arial"/>
          <w:color w:val="333333"/>
          <w:lang w:eastAsia="en-AU"/>
        </w:rPr>
        <w:t>A household experiencing housing stress reflects a situation where the cost of housing (either as rent or mortgage repayments) is high relative to household income. A household is typically described as being in “housing stress” if it is paying more than 30</w:t>
      </w:r>
      <w:r w:rsidR="003C03BE" w:rsidRPr="00B2525C">
        <w:rPr>
          <w:rFonts w:eastAsia="Times New Roman" w:cs="Arial"/>
          <w:color w:val="333333"/>
          <w:lang w:eastAsia="en-AU"/>
        </w:rPr>
        <w:t xml:space="preserve"> </w:t>
      </w:r>
      <w:r w:rsidR="0017290D" w:rsidRPr="00B2525C">
        <w:rPr>
          <w:rFonts w:eastAsia="Times New Roman" w:cs="Arial"/>
          <w:color w:val="333333"/>
          <w:lang w:eastAsia="en-AU"/>
        </w:rPr>
        <w:t>per cent</w:t>
      </w:r>
      <w:r w:rsidRPr="00B2525C">
        <w:rPr>
          <w:rFonts w:eastAsia="Times New Roman" w:cs="Arial"/>
          <w:color w:val="333333"/>
          <w:lang w:eastAsia="en-AU"/>
        </w:rPr>
        <w:t xml:space="preserve"> of its income </w:t>
      </w:r>
      <w:r w:rsidR="00C65977" w:rsidRPr="00B2525C">
        <w:rPr>
          <w:rFonts w:eastAsia="Times New Roman" w:cs="Arial"/>
          <w:color w:val="333333"/>
          <w:lang w:eastAsia="en-AU"/>
        </w:rPr>
        <w:t>on</w:t>
      </w:r>
      <w:r w:rsidRPr="00B2525C">
        <w:rPr>
          <w:rFonts w:eastAsia="Times New Roman" w:cs="Arial"/>
          <w:color w:val="333333"/>
          <w:lang w:eastAsia="en-AU"/>
        </w:rPr>
        <w:t xml:space="preserve"> housing costs.</w:t>
      </w:r>
      <w:r w:rsidR="00164281">
        <w:rPr>
          <w:rFonts w:eastAsia="Times New Roman" w:cs="Arial"/>
          <w:color w:val="333333"/>
          <w:lang w:eastAsia="en-AU"/>
        </w:rPr>
        <w:t xml:space="preserve"> </w:t>
      </w:r>
      <w:r w:rsidR="003C03BE" w:rsidRPr="00B2525C">
        <w:rPr>
          <w:rFonts w:cs="Arial"/>
        </w:rPr>
        <w:t xml:space="preserve">For people who rent and have mortgages, </w:t>
      </w:r>
      <w:r w:rsidR="009B2019" w:rsidRPr="00B2525C">
        <w:rPr>
          <w:rFonts w:cs="Arial"/>
        </w:rPr>
        <w:t>the areas with the most housing and rental stress are in Flemington with 34.5</w:t>
      </w:r>
      <w:r w:rsidR="00C65977" w:rsidRPr="00B2525C">
        <w:rPr>
          <w:rFonts w:cs="Arial"/>
        </w:rPr>
        <w:t xml:space="preserve"> </w:t>
      </w:r>
      <w:r w:rsidR="0017290D" w:rsidRPr="00B2525C">
        <w:rPr>
          <w:rFonts w:cs="Arial"/>
        </w:rPr>
        <w:t>per cent</w:t>
      </w:r>
      <w:r w:rsidR="009B2019" w:rsidRPr="00B2525C">
        <w:rPr>
          <w:rFonts w:cs="Arial"/>
        </w:rPr>
        <w:t xml:space="preserve"> of households who rent their homes experiencing rental stress, 43</w:t>
      </w:r>
      <w:r w:rsidR="003C03BE" w:rsidRPr="00B2525C">
        <w:rPr>
          <w:rFonts w:cs="Arial"/>
        </w:rPr>
        <w:t xml:space="preserve"> </w:t>
      </w:r>
      <w:r w:rsidR="0017290D" w:rsidRPr="00B2525C">
        <w:rPr>
          <w:rFonts w:cs="Arial"/>
        </w:rPr>
        <w:t>per cent</w:t>
      </w:r>
      <w:r w:rsidR="009B2019" w:rsidRPr="00B2525C">
        <w:rPr>
          <w:rFonts w:cs="Arial"/>
        </w:rPr>
        <w:t xml:space="preserve"> in Avondale heights and 35.5</w:t>
      </w:r>
      <w:r w:rsidR="003C03BE" w:rsidRPr="00B2525C">
        <w:rPr>
          <w:rFonts w:cs="Arial"/>
        </w:rPr>
        <w:t xml:space="preserve"> </w:t>
      </w:r>
      <w:r w:rsidR="0017290D" w:rsidRPr="00B2525C">
        <w:rPr>
          <w:rFonts w:cs="Arial"/>
        </w:rPr>
        <w:t>per cent</w:t>
      </w:r>
      <w:r w:rsidR="009B2019" w:rsidRPr="00B2525C">
        <w:rPr>
          <w:rFonts w:cs="Arial"/>
        </w:rPr>
        <w:t xml:space="preserve"> in Milleara.</w:t>
      </w:r>
    </w:p>
    <w:p w14:paraId="1EB6B0B3" w14:textId="77777777" w:rsidR="00BD3DEF" w:rsidRDefault="00BD3DEF" w:rsidP="0048041F">
      <w:pPr>
        <w:rPr>
          <w:rFonts w:cs="Arial"/>
        </w:rPr>
      </w:pPr>
    </w:p>
    <w:p w14:paraId="61A57BE5" w14:textId="655C06B4" w:rsidR="00BD3DEF" w:rsidRPr="00B2525C" w:rsidRDefault="000052A8" w:rsidP="0048041F">
      <w:pPr>
        <w:rPr>
          <w:rFonts w:cs="Arial"/>
        </w:rPr>
      </w:pPr>
      <w:r>
        <w:rPr>
          <w:rFonts w:cs="Arial"/>
        </w:rPr>
        <w:t>Figure</w:t>
      </w:r>
      <w:r w:rsidR="00B93B84">
        <w:rPr>
          <w:rFonts w:cs="Arial"/>
        </w:rPr>
        <w:t xml:space="preserve"> 35.</w:t>
      </w:r>
      <w:r w:rsidR="00BD3DEF" w:rsidRPr="00BD3DEF">
        <w:rPr>
          <w:rFonts w:asciiTheme="minorHAnsi" w:eastAsiaTheme="minorEastAsia" w:hAnsi="Times New Roman"/>
          <w:color w:val="595959"/>
          <w:kern w:val="24"/>
          <w:sz w:val="28"/>
          <w:szCs w:val="28"/>
          <w:lang w:eastAsia="en-AU"/>
          <w14:textFill>
            <w14:solidFill>
              <w14:srgbClr w14:val="595959">
                <w14:lumMod w14:val="65000"/>
                <w14:lumOff w14:val="35000"/>
              </w14:srgbClr>
            </w14:solidFill>
          </w14:textFill>
        </w:rPr>
        <w:t xml:space="preserve"> </w:t>
      </w:r>
      <w:r w:rsidR="00BD3DEF" w:rsidRPr="00BD3DEF">
        <w:rPr>
          <w:rFonts w:cs="Arial"/>
        </w:rPr>
        <w:t xml:space="preserve">Percentage of households experiencing rental or mortgage </w:t>
      </w:r>
      <w:r w:rsidR="00BB25FB">
        <w:rPr>
          <w:rFonts w:cs="Arial"/>
        </w:rPr>
        <w:t>stress</w:t>
      </w:r>
    </w:p>
    <w:p w14:paraId="248EFB3A" w14:textId="77777777" w:rsidR="006A205D" w:rsidRPr="00B2525C" w:rsidRDefault="006A205D" w:rsidP="006A205D">
      <w:pPr>
        <w:rPr>
          <w:rFonts w:cs="Arial"/>
        </w:rPr>
      </w:pPr>
      <w:r w:rsidRPr="00B2525C">
        <w:rPr>
          <w:rFonts w:cs="Arial"/>
          <w:noProof/>
        </w:rPr>
        <w:drawing>
          <wp:inline distT="0" distB="0" distL="0" distR="0" wp14:anchorId="6FF617E1" wp14:editId="4EFEF724">
            <wp:extent cx="6102985" cy="3296093"/>
            <wp:effectExtent l="0" t="0" r="12065" b="0"/>
            <wp:docPr id="393" name="Chart 393">
              <a:extLst xmlns:a="http://schemas.openxmlformats.org/drawingml/2006/main">
                <a:ext uri="{FF2B5EF4-FFF2-40B4-BE49-F238E27FC236}">
                  <a16:creationId xmlns:a16="http://schemas.microsoft.com/office/drawing/2014/main" id="{E31DD3F4-0A01-4B7C-B22E-18B7248D1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C489D4A" w14:textId="77777777" w:rsidR="00883B79" w:rsidRPr="00B2525C" w:rsidRDefault="00883B79" w:rsidP="00883B79">
      <w:pPr>
        <w:pStyle w:val="Caption"/>
        <w:rPr>
          <w:rFonts w:cs="Arial"/>
        </w:rPr>
      </w:pPr>
      <w:r w:rsidRPr="00B2525C">
        <w:rPr>
          <w:rFonts w:cs="Arial"/>
        </w:rPr>
        <w:t>Source: REMPLAN, 2021</w:t>
      </w:r>
    </w:p>
    <w:p w14:paraId="28C6E2B8" w14:textId="77777777" w:rsidR="00237F4B" w:rsidRDefault="00237F4B" w:rsidP="006612DD">
      <w:pPr>
        <w:rPr>
          <w:rFonts w:cs="Arial"/>
        </w:rPr>
      </w:pPr>
      <w:r>
        <w:rPr>
          <w:rFonts w:cs="Arial"/>
        </w:rPr>
        <w:br w:type="page"/>
      </w:r>
    </w:p>
    <w:p w14:paraId="70F48794" w14:textId="77777777" w:rsidR="006612DD" w:rsidRPr="00B2525C" w:rsidRDefault="006612DD" w:rsidP="006612DD">
      <w:pPr>
        <w:pStyle w:val="Heading3"/>
        <w:rPr>
          <w:rFonts w:cs="Arial"/>
        </w:rPr>
      </w:pPr>
      <w:r w:rsidRPr="00B2525C">
        <w:rPr>
          <w:rFonts w:cs="Arial"/>
        </w:rPr>
        <w:lastRenderedPageBreak/>
        <w:t>Affordable housing</w:t>
      </w:r>
      <w:bookmarkEnd w:id="31"/>
    </w:p>
    <w:p w14:paraId="201F761E" w14:textId="730929D9" w:rsidR="006612DD" w:rsidRDefault="00773623" w:rsidP="006612DD">
      <w:pPr>
        <w:rPr>
          <w:rFonts w:cs="Arial"/>
        </w:rPr>
      </w:pPr>
      <w:r w:rsidRPr="00B2525C">
        <w:rPr>
          <w:rFonts w:cs="Arial"/>
          <w:color w:val="222222"/>
          <w:shd w:val="clear" w:color="auto" w:fill="FFFFFF"/>
        </w:rPr>
        <w:t>The</w:t>
      </w:r>
      <w:r w:rsidRPr="00B2525C">
        <w:rPr>
          <w:rFonts w:cs="Arial"/>
          <w:b/>
          <w:bCs/>
          <w:color w:val="222222"/>
          <w:shd w:val="clear" w:color="auto" w:fill="FFFFFF"/>
        </w:rPr>
        <w:t> </w:t>
      </w:r>
      <w:r w:rsidRPr="00C93841">
        <w:rPr>
          <w:rStyle w:val="Strong"/>
          <w:rFonts w:cs="Arial"/>
          <w:b w:val="0"/>
          <w:bCs w:val="0"/>
          <w:i/>
          <w:color w:val="222222"/>
          <w:shd w:val="clear" w:color="auto" w:fill="FFFFFF"/>
        </w:rPr>
        <w:t>Planning and Environment Act</w:t>
      </w:r>
      <w:r w:rsidRPr="00B2525C">
        <w:rPr>
          <w:rStyle w:val="Strong"/>
          <w:rFonts w:cs="Arial"/>
          <w:b w:val="0"/>
          <w:bCs w:val="0"/>
          <w:color w:val="222222"/>
          <w:shd w:val="clear" w:color="auto" w:fill="FFFFFF"/>
        </w:rPr>
        <w:t xml:space="preserve"> 1987</w:t>
      </w:r>
      <w:r w:rsidRPr="00B2525C">
        <w:rPr>
          <w:rFonts w:cs="Arial"/>
          <w:color w:val="222222"/>
          <w:shd w:val="clear" w:color="auto" w:fill="FFFFFF"/>
        </w:rPr>
        <w:t xml:space="preserve"> defines affordable housing as ‘housing, including social housing, that is appropriate for the housing needs of very low, </w:t>
      </w:r>
      <w:proofErr w:type="gramStart"/>
      <w:r w:rsidRPr="00B2525C">
        <w:rPr>
          <w:rFonts w:cs="Arial"/>
          <w:color w:val="222222"/>
          <w:shd w:val="clear" w:color="auto" w:fill="FFFFFF"/>
        </w:rPr>
        <w:t>low and moderate income</w:t>
      </w:r>
      <w:proofErr w:type="gramEnd"/>
      <w:r w:rsidRPr="00B2525C">
        <w:rPr>
          <w:rFonts w:cs="Arial"/>
          <w:color w:val="222222"/>
          <w:shd w:val="clear" w:color="auto" w:fill="FFFFFF"/>
        </w:rPr>
        <w:t xml:space="preserve"> households’</w:t>
      </w:r>
      <w:r w:rsidR="00A97269">
        <w:rPr>
          <w:rFonts w:cs="Arial"/>
          <w:color w:val="222222"/>
          <w:shd w:val="clear" w:color="auto" w:fill="FFFFFF"/>
        </w:rPr>
        <w:t>.</w:t>
      </w:r>
      <w:r w:rsidR="00283EAE">
        <w:rPr>
          <w:rFonts w:cs="Arial"/>
        </w:rPr>
        <w:t xml:space="preserve"> </w:t>
      </w:r>
      <w:r w:rsidR="006612DD" w:rsidRPr="00B2525C">
        <w:rPr>
          <w:rFonts w:cs="Arial"/>
        </w:rPr>
        <w:t xml:space="preserve">According to the Rental Report from the Department of Health and Human Services, there were only 21 affordable lettings in Moonee Valley in the June quarter 2020. Affordable lettings </w:t>
      </w:r>
      <w:proofErr w:type="gramStart"/>
      <w:r w:rsidR="006612DD" w:rsidRPr="00B2525C">
        <w:rPr>
          <w:rFonts w:cs="Arial"/>
        </w:rPr>
        <w:t>refers</w:t>
      </w:r>
      <w:proofErr w:type="gramEnd"/>
      <w:r w:rsidR="006612DD" w:rsidRPr="00B2525C">
        <w:rPr>
          <w:rFonts w:cs="Arial"/>
        </w:rPr>
        <w:t xml:space="preserve"> to private rental properties affordable to households on statutory (Centrelink) incomes. There have been less than 30 affordable lettings in Moonee Valley since 2015.</w:t>
      </w:r>
    </w:p>
    <w:p w14:paraId="72031744" w14:textId="77777777" w:rsidR="00BD3DEF" w:rsidRDefault="00BD3DEF" w:rsidP="006612DD">
      <w:pPr>
        <w:rPr>
          <w:rFonts w:cs="Arial"/>
        </w:rPr>
      </w:pPr>
    </w:p>
    <w:p w14:paraId="7BA078A5" w14:textId="09A3EC77" w:rsidR="00BD3DEF" w:rsidRPr="00BD3DEF" w:rsidRDefault="000052A8" w:rsidP="00BD3DEF">
      <w:pPr>
        <w:rPr>
          <w:rFonts w:cs="Arial"/>
        </w:rPr>
      </w:pPr>
      <w:r w:rsidRPr="00BB25FB">
        <w:rPr>
          <w:rFonts w:cs="Arial"/>
          <w:b/>
        </w:rPr>
        <w:t>Figure</w:t>
      </w:r>
      <w:r w:rsidR="00B93B84">
        <w:rPr>
          <w:rFonts w:cs="Arial"/>
        </w:rPr>
        <w:t xml:space="preserve"> 36.</w:t>
      </w:r>
      <w:r w:rsidR="00BD3DEF">
        <w:rPr>
          <w:rFonts w:cs="Arial"/>
        </w:rPr>
        <w:t xml:space="preserve"> </w:t>
      </w:r>
      <w:r w:rsidR="00BD3DEF" w:rsidRPr="00BD3DEF">
        <w:rPr>
          <w:rFonts w:cs="Arial"/>
        </w:rPr>
        <w:t>Affordable lettings, City of Moonee Valley (quarterly March 2005 - June 2020)</w:t>
      </w:r>
    </w:p>
    <w:p w14:paraId="56415657" w14:textId="77777777" w:rsidR="00237F4B" w:rsidRPr="00B2525C" w:rsidRDefault="00237F4B" w:rsidP="006612DD">
      <w:pPr>
        <w:rPr>
          <w:rFonts w:cs="Arial"/>
        </w:rPr>
      </w:pPr>
    </w:p>
    <w:bookmarkEnd w:id="32"/>
    <w:p w14:paraId="239A1FF3" w14:textId="77777777" w:rsidR="006612DD" w:rsidRPr="00B2525C" w:rsidRDefault="00883B79" w:rsidP="006612DD">
      <w:pPr>
        <w:rPr>
          <w:rFonts w:cs="Arial"/>
          <w:noProof/>
        </w:rPr>
      </w:pPr>
      <w:r w:rsidRPr="00B2525C">
        <w:rPr>
          <w:rFonts w:cs="Arial"/>
          <w:noProof/>
        </w:rPr>
        <w:drawing>
          <wp:inline distT="0" distB="0" distL="0" distR="0" wp14:anchorId="265C0934" wp14:editId="33D9E3A9">
            <wp:extent cx="5767389" cy="3043239"/>
            <wp:effectExtent l="0" t="0" r="5080" b="5080"/>
            <wp:docPr id="242" name="Chart 242">
              <a:extLst xmlns:a="http://schemas.openxmlformats.org/drawingml/2006/main">
                <a:ext uri="{FF2B5EF4-FFF2-40B4-BE49-F238E27FC236}">
                  <a16:creationId xmlns:a16="http://schemas.microsoft.com/office/drawing/2014/main" id="{9F839CC8-821C-42EF-A81F-DA66617B3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C866AC" w14:textId="77777777" w:rsidR="00883B79" w:rsidRPr="00B2525C" w:rsidRDefault="00883B79" w:rsidP="00883B79">
      <w:pPr>
        <w:pStyle w:val="Caption"/>
        <w:rPr>
          <w:rFonts w:cs="Arial"/>
        </w:rPr>
      </w:pPr>
      <w:r w:rsidRPr="00B2525C">
        <w:rPr>
          <w:rFonts w:cs="Arial"/>
        </w:rPr>
        <w:t>Source: Rental Report, Department of Health and Human Services, 2020a</w:t>
      </w:r>
    </w:p>
    <w:p w14:paraId="2517B392" w14:textId="77777777" w:rsidR="00237F4B" w:rsidRDefault="00237F4B" w:rsidP="006612DD">
      <w:pPr>
        <w:rPr>
          <w:rFonts w:cs="Arial"/>
        </w:rPr>
      </w:pPr>
      <w:r>
        <w:rPr>
          <w:rFonts w:cs="Arial"/>
        </w:rPr>
        <w:br w:type="page"/>
      </w:r>
    </w:p>
    <w:p w14:paraId="1950AED9" w14:textId="77777777" w:rsidR="006612DD" w:rsidRPr="00B2525C" w:rsidRDefault="006612DD" w:rsidP="006612DD">
      <w:pPr>
        <w:pStyle w:val="Heading3"/>
        <w:rPr>
          <w:rFonts w:cs="Arial"/>
        </w:rPr>
      </w:pPr>
      <w:bookmarkStart w:id="33" w:name="homelessness"/>
      <w:r w:rsidRPr="00B2525C">
        <w:rPr>
          <w:rFonts w:cs="Arial"/>
        </w:rPr>
        <w:lastRenderedPageBreak/>
        <w:t xml:space="preserve">Social </w:t>
      </w:r>
      <w:r w:rsidR="002A53F6" w:rsidRPr="00B2525C">
        <w:rPr>
          <w:rFonts w:cs="Arial"/>
        </w:rPr>
        <w:t>h</w:t>
      </w:r>
      <w:r w:rsidRPr="00B2525C">
        <w:rPr>
          <w:rFonts w:cs="Arial"/>
        </w:rPr>
        <w:t>ousing</w:t>
      </w:r>
    </w:p>
    <w:p w14:paraId="47508742" w14:textId="77777777" w:rsidR="00237F4B" w:rsidRDefault="006612DD" w:rsidP="00237F4B">
      <w:pPr>
        <w:rPr>
          <w:i/>
        </w:rPr>
      </w:pPr>
      <w:r w:rsidRPr="00B2525C">
        <w:t>Social housing initiatives are designed to assist in meeting the needs of individuals who do not have access to affordable and suitable housing. The Australian Institute of Health and Welfare</w:t>
      </w:r>
      <w:r w:rsidR="00237F4B">
        <w:t xml:space="preserve"> (2016)</w:t>
      </w:r>
      <w:r w:rsidRPr="00B2525C">
        <w:t xml:space="preserve"> define social housing as:</w:t>
      </w:r>
      <w:r w:rsidR="00CD05CF" w:rsidRPr="00B2525C">
        <w:rPr>
          <w:i/>
        </w:rPr>
        <w:t xml:space="preserve"> </w:t>
      </w:r>
    </w:p>
    <w:p w14:paraId="7761D34D" w14:textId="77777777" w:rsidR="00CD05CF" w:rsidRPr="00B2525C" w:rsidRDefault="00CD05CF" w:rsidP="00237F4B">
      <w:pPr>
        <w:pStyle w:val="Quote"/>
      </w:pPr>
      <w:r w:rsidRPr="00B2525C">
        <w:t xml:space="preserve">‘rental housing that government or non-government organisations (including not-for-profit organisations) provide to assist people who are unable to access alternative suitable housing </w:t>
      </w:r>
      <w:proofErr w:type="gramStart"/>
      <w:r w:rsidRPr="00B2525C">
        <w:t>options</w:t>
      </w:r>
      <w:r w:rsidR="00237F4B">
        <w:t>’</w:t>
      </w:r>
      <w:proofErr w:type="gramEnd"/>
      <w:r w:rsidRPr="00B2525C">
        <w:t>.</w:t>
      </w:r>
    </w:p>
    <w:p w14:paraId="7EF4397D" w14:textId="77777777" w:rsidR="006612DD" w:rsidRPr="00B2525C" w:rsidRDefault="006612DD" w:rsidP="00BE2883">
      <w:pPr>
        <w:pStyle w:val="BodyText"/>
      </w:pPr>
    </w:p>
    <w:p w14:paraId="7A4E6ED0" w14:textId="421DB539" w:rsidR="00883B79" w:rsidRPr="00B2525C" w:rsidRDefault="00883B79" w:rsidP="00237F4B">
      <w:bookmarkStart w:id="34" w:name="_Hlk78384347"/>
      <w:r w:rsidRPr="00B2525C">
        <w:t xml:space="preserve">Moonee Valley has </w:t>
      </w:r>
      <w:r w:rsidR="00D652E9">
        <w:t>a high</w:t>
      </w:r>
      <w:r w:rsidRPr="00B2525C">
        <w:t xml:space="preserve"> proportion of social housing dwelling</w:t>
      </w:r>
      <w:r w:rsidR="00D652E9">
        <w:t>s compared to all Victorian dwellings</w:t>
      </w:r>
      <w:r w:rsidR="00237F4B">
        <w:t xml:space="preserve"> - 4.5</w:t>
      </w:r>
      <w:r w:rsidR="00580686">
        <w:t xml:space="preserve"> per cent</w:t>
      </w:r>
      <w:r w:rsidR="00237F4B">
        <w:t xml:space="preserve"> compared to 2.5</w:t>
      </w:r>
      <w:r w:rsidR="00580686">
        <w:t xml:space="preserve"> per cent</w:t>
      </w:r>
      <w:r w:rsidR="00237F4B">
        <w:t xml:space="preserve"> (ABS census, 2016). </w:t>
      </w:r>
      <w:r w:rsidRPr="00B2525C">
        <w:t xml:space="preserve">The neighbourhoods of Flemington and Ascot Vale had the highest rates of households in social housing in 2016 (15.5 per cent and 12.4 per cent respectively). There are small concentrations of social housing in the central neighbourhoods of Essendon, Essendon West, Aberfeldie, Moonee Ponds and Avondale Heights. </w:t>
      </w:r>
    </w:p>
    <w:bookmarkEnd w:id="34"/>
    <w:p w14:paraId="2DFE0BE3" w14:textId="77777777" w:rsidR="009B2019" w:rsidRDefault="009B2019" w:rsidP="00BE2883">
      <w:pPr>
        <w:pStyle w:val="BodyText"/>
      </w:pPr>
    </w:p>
    <w:p w14:paraId="061AD3B8" w14:textId="47CE24BC" w:rsidR="00BD3DEF" w:rsidRPr="00BD3DEF" w:rsidRDefault="000052A8" w:rsidP="00BD3DEF">
      <w:pPr>
        <w:pStyle w:val="BodyText"/>
        <w:rPr>
          <w:lang w:val="en-AU"/>
        </w:rPr>
      </w:pPr>
      <w:r w:rsidRPr="00BB25FB">
        <w:rPr>
          <w:b/>
        </w:rPr>
        <w:t>Figure</w:t>
      </w:r>
      <w:r w:rsidR="00B93B84">
        <w:t xml:space="preserve"> 37.</w:t>
      </w:r>
      <w:r w:rsidR="00BD3DEF">
        <w:t xml:space="preserve"> </w:t>
      </w:r>
      <w:r w:rsidR="00BD3DEF" w:rsidRPr="00BD3DEF">
        <w:t>Percentage of households renting social housing in Moonee Valley, 2016 Census</w:t>
      </w:r>
    </w:p>
    <w:p w14:paraId="4E38DB90" w14:textId="77777777" w:rsidR="00BD3DEF" w:rsidRPr="00B2525C" w:rsidRDefault="00BD3DEF" w:rsidP="00BE2883">
      <w:pPr>
        <w:pStyle w:val="BodyText"/>
      </w:pPr>
    </w:p>
    <w:p w14:paraId="764BF31C" w14:textId="77777777" w:rsidR="009B2019" w:rsidRPr="00B2525C" w:rsidRDefault="00883B79" w:rsidP="00237F4B">
      <w:pPr>
        <w:pStyle w:val="BodyText"/>
      </w:pPr>
      <w:r w:rsidRPr="00B2525C">
        <w:rPr>
          <w:noProof/>
        </w:rPr>
        <w:drawing>
          <wp:inline distT="0" distB="0" distL="0" distR="0" wp14:anchorId="48FFA715" wp14:editId="12B99E8F">
            <wp:extent cx="5552646" cy="2987749"/>
            <wp:effectExtent l="0" t="0" r="10160" b="3175"/>
            <wp:docPr id="244" name="Chart 244">
              <a:extLst xmlns:a="http://schemas.openxmlformats.org/drawingml/2006/main">
                <a:ext uri="{FF2B5EF4-FFF2-40B4-BE49-F238E27FC236}">
                  <a16:creationId xmlns:a16="http://schemas.microsoft.com/office/drawing/2014/main" id="{124B8CA3-A5D3-419F-98E7-14FB4ECA0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Start w:id="35" w:name="_bookmark44"/>
      <w:bookmarkEnd w:id="35"/>
    </w:p>
    <w:p w14:paraId="5ABA642B" w14:textId="77777777" w:rsidR="007A7AC3" w:rsidRDefault="00883B79" w:rsidP="007A7AC3">
      <w:pPr>
        <w:pStyle w:val="Caption"/>
        <w:rPr>
          <w:rFonts w:cs="Arial"/>
        </w:rPr>
      </w:pPr>
      <w:r w:rsidRPr="00B2525C">
        <w:rPr>
          <w:rFonts w:cs="Arial"/>
        </w:rPr>
        <w:t>Source: ABS, Census data 2016, compiled by REMPL</w:t>
      </w:r>
      <w:r w:rsidR="007A7AC3">
        <w:rPr>
          <w:rFonts w:cs="Arial"/>
        </w:rPr>
        <w:t>AN</w:t>
      </w:r>
    </w:p>
    <w:p w14:paraId="3BA1AE26" w14:textId="77777777" w:rsidR="007A7AC3" w:rsidRDefault="007A7AC3" w:rsidP="007A7AC3"/>
    <w:p w14:paraId="44A2AA31" w14:textId="77777777" w:rsidR="007A7AC3" w:rsidRDefault="007A7AC3" w:rsidP="006612DD">
      <w:pPr>
        <w:pStyle w:val="Heading3"/>
        <w:rPr>
          <w:rFonts w:cs="Arial"/>
        </w:rPr>
      </w:pPr>
    </w:p>
    <w:p w14:paraId="2F67F118" w14:textId="77777777" w:rsidR="00164281" w:rsidRDefault="00164281" w:rsidP="006612DD">
      <w:pPr>
        <w:pStyle w:val="Heading3"/>
        <w:rPr>
          <w:rFonts w:cs="Arial"/>
        </w:rPr>
      </w:pPr>
      <w:r>
        <w:rPr>
          <w:rFonts w:cs="Arial"/>
        </w:rPr>
        <w:br w:type="page"/>
      </w:r>
    </w:p>
    <w:p w14:paraId="4198F0A6" w14:textId="77777777" w:rsidR="006612DD" w:rsidRPr="00B2525C" w:rsidRDefault="006612DD" w:rsidP="006612DD">
      <w:pPr>
        <w:pStyle w:val="Heading3"/>
        <w:rPr>
          <w:rFonts w:cs="Arial"/>
        </w:rPr>
      </w:pPr>
      <w:r w:rsidRPr="00B2525C">
        <w:rPr>
          <w:rFonts w:cs="Arial"/>
        </w:rPr>
        <w:lastRenderedPageBreak/>
        <w:t>People experiencing homelessness</w:t>
      </w:r>
      <w:bookmarkEnd w:id="33"/>
    </w:p>
    <w:p w14:paraId="2354DC5C" w14:textId="77777777" w:rsidR="009C424F" w:rsidRPr="00164281" w:rsidRDefault="009C424F" w:rsidP="00BE2883">
      <w:pPr>
        <w:pStyle w:val="BodyText"/>
      </w:pPr>
      <w:r w:rsidRPr="00B2525C">
        <w:t xml:space="preserve">The lack of affordable housing is a major contributor to homelessness which is one of the </w:t>
      </w:r>
      <w:r w:rsidR="00540149" w:rsidRPr="00B2525C">
        <w:t>strongest</w:t>
      </w:r>
      <w:r w:rsidRPr="00B2525C">
        <w:t xml:space="preserve"> indicat</w:t>
      </w:r>
      <w:r w:rsidR="00540149" w:rsidRPr="00B2525C">
        <w:t>ions</w:t>
      </w:r>
      <w:r w:rsidRPr="00B2525C">
        <w:t xml:space="preserve"> of disadvantage</w:t>
      </w:r>
      <w:r w:rsidR="00540149" w:rsidRPr="00B2525C">
        <w:t xml:space="preserve"> and inequity</w:t>
      </w:r>
      <w:r w:rsidRPr="00B2525C">
        <w:t>.</w:t>
      </w:r>
      <w:r w:rsidRPr="00B2525C">
        <w:rPr>
          <w:position w:val="8"/>
        </w:rPr>
        <w:t xml:space="preserve"> </w:t>
      </w:r>
      <w:r w:rsidR="006612DD" w:rsidRPr="00B2525C">
        <w:t xml:space="preserve">Data from the Australian Bureau of Statistics shows little change in the number of people experiencing homelessness in Moonee Valley </w:t>
      </w:r>
      <w:r w:rsidR="006612DD" w:rsidRPr="00164281">
        <w:t xml:space="preserve">between 2011 and 2016. Across the country, the number of people experiencing homelessness has risen, </w:t>
      </w:r>
      <w:r w:rsidR="00540149" w:rsidRPr="00164281">
        <w:t>al</w:t>
      </w:r>
      <w:r w:rsidR="006612DD" w:rsidRPr="00164281">
        <w:t>though in Moonee Valley, there was a slight decline, with 403 residents in 2016 experiencing homelessness, compared to 409 in 2011. The figure for 2016 (403 persons) represents 1.6 per cent of all people experiencing homelessness in Victoria (24,828)</w:t>
      </w:r>
      <w:r w:rsidR="003C03BE" w:rsidRPr="00164281">
        <w:t xml:space="preserve"> (ABS, 2016)</w:t>
      </w:r>
      <w:r w:rsidR="006612DD" w:rsidRPr="00164281">
        <w:t>.</w:t>
      </w:r>
    </w:p>
    <w:p w14:paraId="099676EA" w14:textId="77777777" w:rsidR="00237F4B" w:rsidRDefault="00237F4B" w:rsidP="00C918A0">
      <w:pPr>
        <w:pStyle w:val="BodyText"/>
        <w:ind w:left="0"/>
      </w:pPr>
    </w:p>
    <w:p w14:paraId="6C5C990A" w14:textId="77777777" w:rsidR="00164281" w:rsidRPr="00BB25FB" w:rsidRDefault="00164281" w:rsidP="00C918A0">
      <w:pPr>
        <w:pStyle w:val="BodyText"/>
        <w:ind w:left="0"/>
      </w:pPr>
    </w:p>
    <w:p w14:paraId="37681104" w14:textId="69304890" w:rsidR="00BD3DEF" w:rsidRDefault="00BD3DEF" w:rsidP="00BE2883">
      <w:pPr>
        <w:pStyle w:val="BodyText"/>
        <w:rPr>
          <w:rFonts w:eastAsia="Arial" w:cs="Arial"/>
          <w:color w:val="111111"/>
        </w:rPr>
      </w:pPr>
      <w:r w:rsidRPr="00BB25FB">
        <w:rPr>
          <w:b/>
        </w:rPr>
        <w:t>Table</w:t>
      </w:r>
      <w:r w:rsidR="009276F4">
        <w:rPr>
          <w:b/>
        </w:rPr>
        <w:t xml:space="preserve"> </w:t>
      </w:r>
      <w:r w:rsidR="00283EAE">
        <w:rPr>
          <w:b/>
        </w:rPr>
        <w:t>6</w:t>
      </w:r>
      <w:r w:rsidRPr="00BB25FB">
        <w:t>:</w:t>
      </w:r>
      <w:r w:rsidRPr="00BB25FB">
        <w:rPr>
          <w:rFonts w:eastAsia="Arial" w:cs="Arial"/>
          <w:color w:val="111111"/>
        </w:rPr>
        <w:t xml:space="preserve"> Homelessness estimates for Au</w:t>
      </w:r>
      <w:r w:rsidR="00BB25FB">
        <w:rPr>
          <w:rFonts w:eastAsia="Arial" w:cs="Arial"/>
          <w:color w:val="111111"/>
        </w:rPr>
        <w:t>stralia</w:t>
      </w:r>
      <w:r w:rsidRPr="00BB25FB">
        <w:rPr>
          <w:rFonts w:eastAsia="Arial" w:cs="Arial"/>
          <w:color w:val="111111"/>
        </w:rPr>
        <w:t>, Victoria and Moonee Valley</w:t>
      </w:r>
    </w:p>
    <w:p w14:paraId="2E618E03" w14:textId="77777777" w:rsidR="00BB25FB" w:rsidRPr="00BB25FB" w:rsidRDefault="00BB25FB" w:rsidP="00BE2883">
      <w:pPr>
        <w:pStyle w:val="BodyText"/>
      </w:pPr>
    </w:p>
    <w:tbl>
      <w:tblPr>
        <w:tblW w:w="8510" w:type="dxa"/>
        <w:jc w:val="center"/>
        <w:tblLayout w:type="fixed"/>
        <w:tblLook w:val="0420" w:firstRow="1" w:lastRow="0" w:firstColumn="0" w:lastColumn="0" w:noHBand="0" w:noVBand="1"/>
      </w:tblPr>
      <w:tblGrid>
        <w:gridCol w:w="2453"/>
        <w:gridCol w:w="1325"/>
        <w:gridCol w:w="1325"/>
        <w:gridCol w:w="1660"/>
        <w:gridCol w:w="1747"/>
      </w:tblGrid>
      <w:tr w:rsidR="006612DD" w:rsidRPr="00BB25FB" w14:paraId="4414D879" w14:textId="77777777" w:rsidTr="00BB25FB">
        <w:trPr>
          <w:cantSplit/>
          <w:trHeight w:val="714"/>
          <w:tblHeader/>
          <w:jc w:val="center"/>
        </w:trPr>
        <w:tc>
          <w:tcPr>
            <w:tcW w:w="245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91CE79"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Region</w:t>
            </w:r>
          </w:p>
        </w:tc>
        <w:tc>
          <w:tcPr>
            <w:tcW w:w="13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AAD970"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2011</w:t>
            </w:r>
          </w:p>
        </w:tc>
        <w:tc>
          <w:tcPr>
            <w:tcW w:w="13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06483AB"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2016</w:t>
            </w:r>
          </w:p>
        </w:tc>
        <w:tc>
          <w:tcPr>
            <w:tcW w:w="166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B1BF2C4"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Change (#)</w:t>
            </w:r>
          </w:p>
        </w:tc>
        <w:tc>
          <w:tcPr>
            <w:tcW w:w="174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3D1328"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Change (</w:t>
            </w:r>
            <w:r w:rsidR="00BB25FB">
              <w:rPr>
                <w:rFonts w:eastAsia="Arial" w:cs="Arial"/>
                <w:color w:val="111111"/>
              </w:rPr>
              <w:t>%</w:t>
            </w:r>
            <w:r w:rsidRPr="00BB25FB">
              <w:rPr>
                <w:rFonts w:eastAsia="Arial" w:cs="Arial"/>
                <w:color w:val="111111"/>
              </w:rPr>
              <w:t>)</w:t>
            </w:r>
          </w:p>
        </w:tc>
      </w:tr>
      <w:tr w:rsidR="006612DD" w:rsidRPr="00BB25FB" w14:paraId="5DD95C44" w14:textId="77777777" w:rsidTr="00BB25FB">
        <w:trPr>
          <w:cantSplit/>
          <w:trHeight w:val="395"/>
          <w:jc w:val="center"/>
        </w:trPr>
        <w:tc>
          <w:tcPr>
            <w:tcW w:w="2453" w:type="dxa"/>
            <w:tcBorders>
              <w:top w:val="single" w:sz="4" w:space="0" w:color="auto"/>
            </w:tcBorders>
            <w:shd w:val="clear" w:color="auto" w:fill="FFFFFF"/>
            <w:tcMar>
              <w:top w:w="0" w:type="dxa"/>
              <w:left w:w="0" w:type="dxa"/>
              <w:bottom w:w="0" w:type="dxa"/>
              <w:right w:w="0" w:type="dxa"/>
            </w:tcMar>
            <w:vAlign w:val="center"/>
          </w:tcPr>
          <w:p w14:paraId="6EC165DB"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Australia</w:t>
            </w:r>
          </w:p>
        </w:tc>
        <w:tc>
          <w:tcPr>
            <w:tcW w:w="1325" w:type="dxa"/>
            <w:tcBorders>
              <w:top w:val="single" w:sz="4" w:space="0" w:color="auto"/>
            </w:tcBorders>
            <w:shd w:val="clear" w:color="auto" w:fill="FFFFFF"/>
            <w:tcMar>
              <w:top w:w="0" w:type="dxa"/>
              <w:left w:w="0" w:type="dxa"/>
              <w:bottom w:w="0" w:type="dxa"/>
              <w:right w:w="0" w:type="dxa"/>
            </w:tcMar>
            <w:vAlign w:val="center"/>
          </w:tcPr>
          <w:p w14:paraId="0C6D82D7"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102,439</w:t>
            </w:r>
          </w:p>
        </w:tc>
        <w:tc>
          <w:tcPr>
            <w:tcW w:w="1325" w:type="dxa"/>
            <w:tcBorders>
              <w:top w:val="single" w:sz="4" w:space="0" w:color="auto"/>
            </w:tcBorders>
            <w:shd w:val="clear" w:color="auto" w:fill="FFFFFF"/>
            <w:tcMar>
              <w:top w:w="0" w:type="dxa"/>
              <w:left w:w="0" w:type="dxa"/>
              <w:bottom w:w="0" w:type="dxa"/>
              <w:right w:w="0" w:type="dxa"/>
            </w:tcMar>
            <w:vAlign w:val="center"/>
          </w:tcPr>
          <w:p w14:paraId="60412461"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116,427</w:t>
            </w:r>
          </w:p>
        </w:tc>
        <w:tc>
          <w:tcPr>
            <w:tcW w:w="1660" w:type="dxa"/>
            <w:tcBorders>
              <w:top w:val="single" w:sz="4" w:space="0" w:color="auto"/>
            </w:tcBorders>
            <w:shd w:val="clear" w:color="auto" w:fill="FFFFFF"/>
            <w:tcMar>
              <w:top w:w="0" w:type="dxa"/>
              <w:left w:w="0" w:type="dxa"/>
              <w:bottom w:w="0" w:type="dxa"/>
              <w:right w:w="0" w:type="dxa"/>
            </w:tcMar>
            <w:vAlign w:val="center"/>
          </w:tcPr>
          <w:p w14:paraId="3E1D98DF"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13,988</w:t>
            </w:r>
          </w:p>
        </w:tc>
        <w:tc>
          <w:tcPr>
            <w:tcW w:w="1747" w:type="dxa"/>
            <w:tcBorders>
              <w:top w:val="single" w:sz="4" w:space="0" w:color="auto"/>
            </w:tcBorders>
            <w:shd w:val="clear" w:color="auto" w:fill="FFFFFF"/>
            <w:tcMar>
              <w:top w:w="0" w:type="dxa"/>
              <w:left w:w="0" w:type="dxa"/>
              <w:bottom w:w="0" w:type="dxa"/>
              <w:right w:w="0" w:type="dxa"/>
            </w:tcMar>
            <w:vAlign w:val="center"/>
          </w:tcPr>
          <w:p w14:paraId="107E719D" w14:textId="77777777" w:rsidR="006612DD" w:rsidRPr="00BB25FB" w:rsidRDefault="006612DD" w:rsidP="00BB25FB">
            <w:pPr>
              <w:spacing w:before="40" w:after="40" w:line="360" w:lineRule="auto"/>
              <w:ind w:left="100" w:right="100"/>
              <w:jc w:val="center"/>
              <w:rPr>
                <w:rFonts w:cs="Arial"/>
              </w:rPr>
            </w:pPr>
            <w:r w:rsidRPr="00BB25FB">
              <w:rPr>
                <w:rFonts w:eastAsia="Arial" w:cs="Arial"/>
                <w:color w:val="111111"/>
              </w:rPr>
              <w:t>14</w:t>
            </w:r>
          </w:p>
        </w:tc>
      </w:tr>
      <w:tr w:rsidR="006612DD" w:rsidRPr="00BB25FB" w14:paraId="1F40FF3B" w14:textId="77777777" w:rsidTr="00BB25FB">
        <w:trPr>
          <w:cantSplit/>
          <w:trHeight w:val="412"/>
          <w:jc w:val="center"/>
        </w:trPr>
        <w:tc>
          <w:tcPr>
            <w:tcW w:w="2453" w:type="dxa"/>
            <w:shd w:val="clear" w:color="auto" w:fill="FFFFFF"/>
            <w:tcMar>
              <w:top w:w="0" w:type="dxa"/>
              <w:left w:w="0" w:type="dxa"/>
              <w:bottom w:w="0" w:type="dxa"/>
              <w:right w:w="0" w:type="dxa"/>
            </w:tcMar>
            <w:vAlign w:val="center"/>
          </w:tcPr>
          <w:p w14:paraId="76B57A6F"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Victoria</w:t>
            </w:r>
          </w:p>
        </w:tc>
        <w:tc>
          <w:tcPr>
            <w:tcW w:w="1325" w:type="dxa"/>
            <w:shd w:val="clear" w:color="auto" w:fill="FFFFFF"/>
            <w:tcMar>
              <w:top w:w="0" w:type="dxa"/>
              <w:left w:w="0" w:type="dxa"/>
              <w:bottom w:w="0" w:type="dxa"/>
              <w:right w:w="0" w:type="dxa"/>
            </w:tcMar>
            <w:vAlign w:val="center"/>
          </w:tcPr>
          <w:p w14:paraId="2B26FD72"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22,259</w:t>
            </w:r>
          </w:p>
        </w:tc>
        <w:tc>
          <w:tcPr>
            <w:tcW w:w="1325" w:type="dxa"/>
            <w:shd w:val="clear" w:color="auto" w:fill="FFFFFF"/>
            <w:tcMar>
              <w:top w:w="0" w:type="dxa"/>
              <w:left w:w="0" w:type="dxa"/>
              <w:bottom w:w="0" w:type="dxa"/>
              <w:right w:w="0" w:type="dxa"/>
            </w:tcMar>
            <w:vAlign w:val="center"/>
          </w:tcPr>
          <w:p w14:paraId="11D5C17A"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24,828</w:t>
            </w:r>
          </w:p>
        </w:tc>
        <w:tc>
          <w:tcPr>
            <w:tcW w:w="1660" w:type="dxa"/>
            <w:shd w:val="clear" w:color="auto" w:fill="FFFFFF"/>
            <w:tcMar>
              <w:top w:w="0" w:type="dxa"/>
              <w:left w:w="0" w:type="dxa"/>
              <w:bottom w:w="0" w:type="dxa"/>
              <w:right w:w="0" w:type="dxa"/>
            </w:tcMar>
            <w:vAlign w:val="center"/>
          </w:tcPr>
          <w:p w14:paraId="506C2E99"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2,569</w:t>
            </w:r>
          </w:p>
        </w:tc>
        <w:tc>
          <w:tcPr>
            <w:tcW w:w="1747" w:type="dxa"/>
            <w:shd w:val="clear" w:color="auto" w:fill="FFFFFF"/>
            <w:tcMar>
              <w:top w:w="0" w:type="dxa"/>
              <w:left w:w="0" w:type="dxa"/>
              <w:bottom w:w="0" w:type="dxa"/>
              <w:right w:w="0" w:type="dxa"/>
            </w:tcMar>
            <w:vAlign w:val="center"/>
          </w:tcPr>
          <w:p w14:paraId="61449625" w14:textId="77777777" w:rsidR="006612DD" w:rsidRPr="00BB25FB" w:rsidRDefault="006612DD" w:rsidP="00BB25FB">
            <w:pPr>
              <w:spacing w:before="40" w:after="40" w:line="360" w:lineRule="auto"/>
              <w:ind w:left="100" w:right="100"/>
              <w:jc w:val="center"/>
              <w:rPr>
                <w:rFonts w:cs="Arial"/>
              </w:rPr>
            </w:pPr>
            <w:r w:rsidRPr="00BB25FB">
              <w:rPr>
                <w:rFonts w:eastAsia="Arial" w:cs="Arial"/>
                <w:color w:val="111111"/>
              </w:rPr>
              <w:t>12</w:t>
            </w:r>
          </w:p>
        </w:tc>
      </w:tr>
      <w:tr w:rsidR="006612DD" w:rsidRPr="00BB25FB" w14:paraId="29BE1DC8" w14:textId="77777777" w:rsidTr="00BB25FB">
        <w:trPr>
          <w:cantSplit/>
          <w:trHeight w:val="395"/>
          <w:jc w:val="center"/>
        </w:trPr>
        <w:tc>
          <w:tcPr>
            <w:tcW w:w="2453" w:type="dxa"/>
            <w:tcBorders>
              <w:bottom w:val="single" w:sz="4" w:space="0" w:color="auto"/>
            </w:tcBorders>
            <w:shd w:val="clear" w:color="auto" w:fill="FFFFFF"/>
            <w:tcMar>
              <w:top w:w="0" w:type="dxa"/>
              <w:left w:w="0" w:type="dxa"/>
              <w:bottom w:w="0" w:type="dxa"/>
              <w:right w:w="0" w:type="dxa"/>
            </w:tcMar>
            <w:vAlign w:val="center"/>
          </w:tcPr>
          <w:p w14:paraId="1B8C4298"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 xml:space="preserve">Moonee Valley </w:t>
            </w:r>
          </w:p>
        </w:tc>
        <w:tc>
          <w:tcPr>
            <w:tcW w:w="1325" w:type="dxa"/>
            <w:tcBorders>
              <w:bottom w:val="single" w:sz="4" w:space="0" w:color="auto"/>
            </w:tcBorders>
            <w:shd w:val="clear" w:color="auto" w:fill="FFFFFF"/>
            <w:tcMar>
              <w:top w:w="0" w:type="dxa"/>
              <w:left w:w="0" w:type="dxa"/>
              <w:bottom w:w="0" w:type="dxa"/>
              <w:right w:w="0" w:type="dxa"/>
            </w:tcMar>
            <w:vAlign w:val="center"/>
          </w:tcPr>
          <w:p w14:paraId="6EE3719F"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409</w:t>
            </w:r>
          </w:p>
        </w:tc>
        <w:tc>
          <w:tcPr>
            <w:tcW w:w="1325" w:type="dxa"/>
            <w:tcBorders>
              <w:bottom w:val="single" w:sz="4" w:space="0" w:color="auto"/>
            </w:tcBorders>
            <w:shd w:val="clear" w:color="auto" w:fill="FFFFFF"/>
            <w:tcMar>
              <w:top w:w="0" w:type="dxa"/>
              <w:left w:w="0" w:type="dxa"/>
              <w:bottom w:w="0" w:type="dxa"/>
              <w:right w:w="0" w:type="dxa"/>
            </w:tcMar>
            <w:vAlign w:val="center"/>
          </w:tcPr>
          <w:p w14:paraId="268AC7A4"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403</w:t>
            </w:r>
          </w:p>
        </w:tc>
        <w:tc>
          <w:tcPr>
            <w:tcW w:w="1660" w:type="dxa"/>
            <w:tcBorders>
              <w:bottom w:val="single" w:sz="4" w:space="0" w:color="auto"/>
            </w:tcBorders>
            <w:shd w:val="clear" w:color="auto" w:fill="FFFFFF"/>
            <w:tcMar>
              <w:top w:w="0" w:type="dxa"/>
              <w:left w:w="0" w:type="dxa"/>
              <w:bottom w:w="0" w:type="dxa"/>
              <w:right w:w="0" w:type="dxa"/>
            </w:tcMar>
            <w:vAlign w:val="center"/>
          </w:tcPr>
          <w:p w14:paraId="3519A131" w14:textId="77777777" w:rsidR="006612DD" w:rsidRPr="00BB25FB" w:rsidRDefault="006612DD" w:rsidP="00BB25FB">
            <w:pPr>
              <w:spacing w:before="40" w:after="40" w:line="360" w:lineRule="auto"/>
              <w:ind w:left="100" w:right="100"/>
              <w:jc w:val="right"/>
              <w:rPr>
                <w:rFonts w:cs="Arial"/>
              </w:rPr>
            </w:pPr>
            <w:r w:rsidRPr="00BB25FB">
              <w:rPr>
                <w:rFonts w:eastAsia="Arial" w:cs="Arial"/>
                <w:color w:val="111111"/>
              </w:rPr>
              <w:t>-6</w:t>
            </w:r>
          </w:p>
        </w:tc>
        <w:tc>
          <w:tcPr>
            <w:tcW w:w="1747" w:type="dxa"/>
            <w:tcBorders>
              <w:bottom w:val="single" w:sz="4" w:space="0" w:color="auto"/>
            </w:tcBorders>
            <w:shd w:val="clear" w:color="auto" w:fill="FFFFFF"/>
            <w:tcMar>
              <w:top w:w="0" w:type="dxa"/>
              <w:left w:w="0" w:type="dxa"/>
              <w:bottom w:w="0" w:type="dxa"/>
              <w:right w:w="0" w:type="dxa"/>
            </w:tcMar>
            <w:vAlign w:val="center"/>
          </w:tcPr>
          <w:p w14:paraId="33499AA3" w14:textId="77777777" w:rsidR="006612DD" w:rsidRPr="00BB25FB" w:rsidRDefault="006612DD" w:rsidP="00BB25FB">
            <w:pPr>
              <w:spacing w:before="40" w:after="40" w:line="360" w:lineRule="auto"/>
              <w:ind w:left="100" w:right="100"/>
              <w:jc w:val="center"/>
              <w:rPr>
                <w:rFonts w:cs="Arial"/>
              </w:rPr>
            </w:pPr>
            <w:r w:rsidRPr="00BB25FB">
              <w:rPr>
                <w:rFonts w:eastAsia="Arial" w:cs="Arial"/>
                <w:color w:val="111111"/>
              </w:rPr>
              <w:t>-1</w:t>
            </w:r>
          </w:p>
        </w:tc>
      </w:tr>
      <w:tr w:rsidR="006612DD" w:rsidRPr="00BB25FB" w14:paraId="17A21EAB" w14:textId="77777777" w:rsidTr="00BB25FB">
        <w:trPr>
          <w:cantSplit/>
          <w:trHeight w:val="269"/>
          <w:jc w:val="center"/>
        </w:trPr>
        <w:tc>
          <w:tcPr>
            <w:tcW w:w="8510" w:type="dxa"/>
            <w:gridSpan w:val="5"/>
            <w:tcBorders>
              <w:top w:val="single" w:sz="4" w:space="0" w:color="auto"/>
            </w:tcBorders>
            <w:shd w:val="clear" w:color="auto" w:fill="FFFFFF"/>
            <w:tcMar>
              <w:top w:w="0" w:type="dxa"/>
              <w:left w:w="0" w:type="dxa"/>
              <w:bottom w:w="0" w:type="dxa"/>
              <w:right w:w="0" w:type="dxa"/>
            </w:tcMar>
            <w:vAlign w:val="center"/>
          </w:tcPr>
          <w:p w14:paraId="7D894ED4" w14:textId="77777777" w:rsidR="006612DD" w:rsidRPr="00BB25FB" w:rsidRDefault="006612DD" w:rsidP="00237F4B">
            <w:pPr>
              <w:spacing w:after="0"/>
              <w:rPr>
                <w:rFonts w:cs="Arial"/>
                <w:i/>
              </w:rPr>
            </w:pPr>
            <w:r w:rsidRPr="00BB25FB">
              <w:rPr>
                <w:rFonts w:eastAsia="Arial" w:cs="Arial"/>
                <w:i/>
                <w:color w:val="000000"/>
                <w:sz w:val="20"/>
                <w:szCs w:val="20"/>
              </w:rPr>
              <w:t>Source: ABS, Census 2016</w:t>
            </w:r>
          </w:p>
        </w:tc>
      </w:tr>
    </w:tbl>
    <w:p w14:paraId="417F3F24" w14:textId="77777777" w:rsidR="006612DD" w:rsidRPr="00B2525C" w:rsidRDefault="006612DD" w:rsidP="006612DD">
      <w:pPr>
        <w:rPr>
          <w:rFonts w:cs="Arial"/>
        </w:rPr>
      </w:pPr>
    </w:p>
    <w:p w14:paraId="49A62AAF" w14:textId="77777777" w:rsidR="006612DD" w:rsidRDefault="006612DD" w:rsidP="006612DD">
      <w:pPr>
        <w:rPr>
          <w:rFonts w:cs="Arial"/>
        </w:rPr>
      </w:pPr>
      <w:r w:rsidRPr="00B2525C">
        <w:rPr>
          <w:rFonts w:cs="Arial"/>
        </w:rPr>
        <w:t xml:space="preserve">The largest </w:t>
      </w:r>
      <w:r w:rsidR="00540149" w:rsidRPr="00B2525C">
        <w:rPr>
          <w:rFonts w:cs="Arial"/>
        </w:rPr>
        <w:t>numbers</w:t>
      </w:r>
      <w:r w:rsidRPr="00B2525C">
        <w:rPr>
          <w:rFonts w:cs="Arial"/>
        </w:rPr>
        <w:t xml:space="preserve"> of homeless residents </w:t>
      </w:r>
      <w:r w:rsidR="00540149" w:rsidRPr="00B2525C">
        <w:rPr>
          <w:rFonts w:cs="Arial"/>
        </w:rPr>
        <w:t>in 2011 and 2016 were</w:t>
      </w:r>
      <w:r w:rsidRPr="00B2525C">
        <w:rPr>
          <w:rFonts w:cs="Arial"/>
        </w:rPr>
        <w:t xml:space="preserve"> in Flemington, Ascot Vale and the Essendon - Aberfeldie area.</w:t>
      </w:r>
      <w:r w:rsidR="00540149" w:rsidRPr="00B2525C">
        <w:rPr>
          <w:rFonts w:cs="Arial"/>
        </w:rPr>
        <w:t xml:space="preserve"> The area of Ascot Vale had an estimated increase of 31 homeless people from 2011 to 2016.</w:t>
      </w:r>
    </w:p>
    <w:p w14:paraId="06C056EA" w14:textId="77777777" w:rsidR="00BD3DEF" w:rsidRDefault="00BD3DEF" w:rsidP="006612DD">
      <w:pPr>
        <w:rPr>
          <w:rFonts w:cs="Arial"/>
        </w:rPr>
      </w:pPr>
    </w:p>
    <w:p w14:paraId="1BD31298" w14:textId="0A6020A8" w:rsidR="00BD3DEF" w:rsidRPr="00BB25FB" w:rsidRDefault="00BD3DEF" w:rsidP="006612DD">
      <w:pPr>
        <w:rPr>
          <w:rFonts w:cs="Arial"/>
        </w:rPr>
      </w:pPr>
      <w:r>
        <w:rPr>
          <w:rFonts w:eastAsia="Arial" w:cs="Arial"/>
          <w:b/>
          <w:color w:val="111111"/>
        </w:rPr>
        <w:t>Table</w:t>
      </w:r>
      <w:r w:rsidR="009276F4">
        <w:rPr>
          <w:rFonts w:eastAsia="Arial" w:cs="Arial"/>
          <w:b/>
          <w:color w:val="111111"/>
        </w:rPr>
        <w:t xml:space="preserve"> </w:t>
      </w:r>
      <w:r w:rsidR="00283EAE">
        <w:rPr>
          <w:rFonts w:eastAsia="Arial" w:cs="Arial"/>
          <w:b/>
          <w:color w:val="111111"/>
        </w:rPr>
        <w:t>7</w:t>
      </w:r>
      <w:r>
        <w:rPr>
          <w:rFonts w:eastAsia="Arial" w:cs="Arial"/>
          <w:b/>
          <w:color w:val="111111"/>
        </w:rPr>
        <w:t xml:space="preserve">: </w:t>
      </w:r>
      <w:r w:rsidRPr="00BB25FB">
        <w:rPr>
          <w:rFonts w:eastAsia="Arial" w:cs="Arial"/>
          <w:color w:val="111111"/>
        </w:rPr>
        <w:t>Homelessness estimates by locality</w:t>
      </w:r>
    </w:p>
    <w:p w14:paraId="0B7D24EB" w14:textId="77777777" w:rsidR="00237F4B" w:rsidRPr="00B2525C" w:rsidRDefault="00237F4B" w:rsidP="006612DD">
      <w:pPr>
        <w:rPr>
          <w:rFonts w:cs="Arial"/>
        </w:rPr>
      </w:pPr>
    </w:p>
    <w:tbl>
      <w:tblPr>
        <w:tblW w:w="7068" w:type="dxa"/>
        <w:jc w:val="center"/>
        <w:tblLayout w:type="fixed"/>
        <w:tblLook w:val="0420" w:firstRow="1" w:lastRow="0" w:firstColumn="0" w:lastColumn="0" w:noHBand="0" w:noVBand="1"/>
      </w:tblPr>
      <w:tblGrid>
        <w:gridCol w:w="3266"/>
        <w:gridCol w:w="1033"/>
        <w:gridCol w:w="1033"/>
        <w:gridCol w:w="1736"/>
      </w:tblGrid>
      <w:tr w:rsidR="006612DD" w:rsidRPr="00BB25FB" w14:paraId="4E4C67A3" w14:textId="77777777" w:rsidTr="00BB25FB">
        <w:trPr>
          <w:cantSplit/>
          <w:trHeight w:val="401"/>
          <w:tblHeader/>
          <w:jc w:val="center"/>
        </w:trPr>
        <w:tc>
          <w:tcPr>
            <w:tcW w:w="326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FDFAB9" w14:textId="77777777" w:rsidR="006612DD" w:rsidRPr="00BB25FB" w:rsidRDefault="00540149" w:rsidP="007A7AC3">
            <w:pPr>
              <w:spacing w:before="40" w:after="40"/>
              <w:ind w:left="100" w:right="100"/>
              <w:rPr>
                <w:rFonts w:cs="Arial"/>
              </w:rPr>
            </w:pPr>
            <w:r w:rsidRPr="00BB25FB">
              <w:rPr>
                <w:rFonts w:eastAsia="Arial" w:cs="Arial"/>
                <w:color w:val="111111"/>
              </w:rPr>
              <w:t>Local area</w:t>
            </w:r>
          </w:p>
        </w:tc>
        <w:tc>
          <w:tcPr>
            <w:tcW w:w="103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88839E" w14:textId="77777777" w:rsidR="006612DD" w:rsidRPr="00BB25FB" w:rsidRDefault="006612DD" w:rsidP="007A7AC3">
            <w:pPr>
              <w:spacing w:before="40" w:after="40"/>
              <w:ind w:left="100" w:right="100"/>
              <w:jc w:val="right"/>
              <w:rPr>
                <w:rFonts w:cs="Arial"/>
              </w:rPr>
            </w:pPr>
            <w:r w:rsidRPr="00BB25FB">
              <w:rPr>
                <w:rFonts w:eastAsia="Arial" w:cs="Arial"/>
                <w:color w:val="111111"/>
              </w:rPr>
              <w:t>2011</w:t>
            </w:r>
          </w:p>
        </w:tc>
        <w:tc>
          <w:tcPr>
            <w:tcW w:w="103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2E1A43" w14:textId="77777777" w:rsidR="006612DD" w:rsidRPr="00BB25FB" w:rsidRDefault="006612DD" w:rsidP="007A7AC3">
            <w:pPr>
              <w:spacing w:before="40" w:after="40"/>
              <w:ind w:left="100" w:right="100"/>
              <w:jc w:val="right"/>
              <w:rPr>
                <w:rFonts w:cs="Arial"/>
              </w:rPr>
            </w:pPr>
            <w:r w:rsidRPr="00BB25FB">
              <w:rPr>
                <w:rFonts w:eastAsia="Arial" w:cs="Arial"/>
                <w:color w:val="111111"/>
              </w:rPr>
              <w:t>2016</w:t>
            </w:r>
          </w:p>
        </w:tc>
        <w:tc>
          <w:tcPr>
            <w:tcW w:w="173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B282B1" w14:textId="77777777" w:rsidR="006612DD" w:rsidRPr="00BB25FB" w:rsidRDefault="006612DD" w:rsidP="007A7AC3">
            <w:pPr>
              <w:spacing w:before="40" w:after="40"/>
              <w:ind w:left="100" w:right="100"/>
              <w:jc w:val="right"/>
              <w:rPr>
                <w:rFonts w:cs="Arial"/>
              </w:rPr>
            </w:pPr>
            <w:r w:rsidRPr="00BB25FB">
              <w:rPr>
                <w:rFonts w:eastAsia="Arial" w:cs="Arial"/>
                <w:color w:val="111111"/>
              </w:rPr>
              <w:t>Change (#)</w:t>
            </w:r>
          </w:p>
        </w:tc>
      </w:tr>
      <w:tr w:rsidR="006612DD" w:rsidRPr="00B2525C" w14:paraId="66B4F164" w14:textId="77777777" w:rsidTr="00BB25FB">
        <w:trPr>
          <w:cantSplit/>
          <w:trHeight w:val="385"/>
          <w:jc w:val="center"/>
        </w:trPr>
        <w:tc>
          <w:tcPr>
            <w:tcW w:w="3266" w:type="dxa"/>
            <w:tcBorders>
              <w:top w:val="single" w:sz="4" w:space="0" w:color="auto"/>
            </w:tcBorders>
            <w:shd w:val="clear" w:color="auto" w:fill="FFFFFF"/>
            <w:tcMar>
              <w:top w:w="0" w:type="dxa"/>
              <w:left w:w="0" w:type="dxa"/>
              <w:bottom w:w="0" w:type="dxa"/>
              <w:right w:w="0" w:type="dxa"/>
            </w:tcMar>
            <w:vAlign w:val="center"/>
          </w:tcPr>
          <w:p w14:paraId="6430BFEA" w14:textId="77777777" w:rsidR="006612DD" w:rsidRPr="00B2525C" w:rsidRDefault="006612DD" w:rsidP="007A7AC3">
            <w:pPr>
              <w:spacing w:before="40" w:after="40"/>
              <w:ind w:left="100" w:right="100"/>
              <w:rPr>
                <w:rFonts w:cs="Arial"/>
              </w:rPr>
            </w:pPr>
            <w:r w:rsidRPr="00B2525C">
              <w:rPr>
                <w:rFonts w:eastAsia="Arial" w:cs="Arial"/>
                <w:color w:val="111111"/>
              </w:rPr>
              <w:t>Flemington</w:t>
            </w:r>
          </w:p>
        </w:tc>
        <w:tc>
          <w:tcPr>
            <w:tcW w:w="1033" w:type="dxa"/>
            <w:tcBorders>
              <w:top w:val="single" w:sz="4" w:space="0" w:color="auto"/>
            </w:tcBorders>
            <w:shd w:val="clear" w:color="auto" w:fill="FFFFFF"/>
            <w:tcMar>
              <w:top w:w="0" w:type="dxa"/>
              <w:left w:w="0" w:type="dxa"/>
              <w:bottom w:w="0" w:type="dxa"/>
              <w:right w:w="0" w:type="dxa"/>
            </w:tcMar>
            <w:vAlign w:val="center"/>
          </w:tcPr>
          <w:p w14:paraId="3D3F5CD5" w14:textId="77777777" w:rsidR="006612DD" w:rsidRPr="00B2525C" w:rsidRDefault="006612DD" w:rsidP="007A7AC3">
            <w:pPr>
              <w:spacing w:before="40" w:after="40"/>
              <w:ind w:left="100" w:right="100"/>
              <w:jc w:val="right"/>
              <w:rPr>
                <w:rFonts w:cs="Arial"/>
              </w:rPr>
            </w:pPr>
            <w:r w:rsidRPr="00B2525C">
              <w:rPr>
                <w:rFonts w:eastAsia="Arial" w:cs="Arial"/>
                <w:color w:val="111111"/>
              </w:rPr>
              <w:t>130</w:t>
            </w:r>
          </w:p>
        </w:tc>
        <w:tc>
          <w:tcPr>
            <w:tcW w:w="1033" w:type="dxa"/>
            <w:tcBorders>
              <w:top w:val="single" w:sz="4" w:space="0" w:color="auto"/>
            </w:tcBorders>
            <w:shd w:val="clear" w:color="auto" w:fill="FFFFFF"/>
            <w:tcMar>
              <w:top w:w="0" w:type="dxa"/>
              <w:left w:w="0" w:type="dxa"/>
              <w:bottom w:w="0" w:type="dxa"/>
              <w:right w:w="0" w:type="dxa"/>
            </w:tcMar>
            <w:vAlign w:val="center"/>
          </w:tcPr>
          <w:p w14:paraId="42D935A4" w14:textId="77777777" w:rsidR="006612DD" w:rsidRPr="00B2525C" w:rsidRDefault="006612DD" w:rsidP="007A7AC3">
            <w:pPr>
              <w:spacing w:before="40" w:after="40"/>
              <w:ind w:left="100" w:right="100"/>
              <w:jc w:val="right"/>
              <w:rPr>
                <w:rFonts w:cs="Arial"/>
              </w:rPr>
            </w:pPr>
            <w:r w:rsidRPr="00B2525C">
              <w:rPr>
                <w:rFonts w:eastAsia="Arial" w:cs="Arial"/>
                <w:color w:val="111111"/>
              </w:rPr>
              <w:t>126</w:t>
            </w:r>
          </w:p>
        </w:tc>
        <w:tc>
          <w:tcPr>
            <w:tcW w:w="1736" w:type="dxa"/>
            <w:tcBorders>
              <w:top w:val="single" w:sz="4" w:space="0" w:color="auto"/>
            </w:tcBorders>
            <w:shd w:val="clear" w:color="auto" w:fill="FFFFFF"/>
            <w:tcMar>
              <w:top w:w="0" w:type="dxa"/>
              <w:left w:w="0" w:type="dxa"/>
              <w:bottom w:w="0" w:type="dxa"/>
              <w:right w:w="0" w:type="dxa"/>
            </w:tcMar>
            <w:vAlign w:val="center"/>
          </w:tcPr>
          <w:p w14:paraId="21EB9B63" w14:textId="77777777" w:rsidR="006612DD" w:rsidRPr="00B2525C" w:rsidRDefault="006612DD" w:rsidP="007A7AC3">
            <w:pPr>
              <w:spacing w:before="40" w:after="40"/>
              <w:ind w:left="100" w:right="100"/>
              <w:jc w:val="right"/>
              <w:rPr>
                <w:rFonts w:cs="Arial"/>
              </w:rPr>
            </w:pPr>
            <w:r w:rsidRPr="00B2525C">
              <w:rPr>
                <w:rFonts w:eastAsia="Arial" w:cs="Arial"/>
                <w:color w:val="111111"/>
              </w:rPr>
              <w:t>-4</w:t>
            </w:r>
          </w:p>
        </w:tc>
      </w:tr>
      <w:tr w:rsidR="006612DD" w:rsidRPr="00B2525C" w14:paraId="3C8E5977" w14:textId="77777777" w:rsidTr="00BB25FB">
        <w:trPr>
          <w:cantSplit/>
          <w:trHeight w:val="385"/>
          <w:jc w:val="center"/>
        </w:trPr>
        <w:tc>
          <w:tcPr>
            <w:tcW w:w="3266" w:type="dxa"/>
            <w:shd w:val="clear" w:color="auto" w:fill="FFFFFF"/>
            <w:tcMar>
              <w:top w:w="0" w:type="dxa"/>
              <w:left w:w="0" w:type="dxa"/>
              <w:bottom w:w="0" w:type="dxa"/>
              <w:right w:w="0" w:type="dxa"/>
            </w:tcMar>
            <w:vAlign w:val="center"/>
          </w:tcPr>
          <w:p w14:paraId="469D6DA8" w14:textId="77777777" w:rsidR="006612DD" w:rsidRPr="00B2525C" w:rsidRDefault="006612DD" w:rsidP="007A7AC3">
            <w:pPr>
              <w:spacing w:before="40" w:after="40"/>
              <w:ind w:left="100" w:right="100"/>
              <w:rPr>
                <w:rFonts w:cs="Arial"/>
              </w:rPr>
            </w:pPr>
            <w:r w:rsidRPr="00B2525C">
              <w:rPr>
                <w:rFonts w:eastAsia="Arial" w:cs="Arial"/>
                <w:color w:val="111111"/>
              </w:rPr>
              <w:t>Ascot Vale</w:t>
            </w:r>
          </w:p>
        </w:tc>
        <w:tc>
          <w:tcPr>
            <w:tcW w:w="1033" w:type="dxa"/>
            <w:shd w:val="clear" w:color="auto" w:fill="FFFFFF"/>
            <w:tcMar>
              <w:top w:w="0" w:type="dxa"/>
              <w:left w:w="0" w:type="dxa"/>
              <w:bottom w:w="0" w:type="dxa"/>
              <w:right w:w="0" w:type="dxa"/>
            </w:tcMar>
            <w:vAlign w:val="center"/>
          </w:tcPr>
          <w:p w14:paraId="2084A831" w14:textId="77777777" w:rsidR="006612DD" w:rsidRPr="00B2525C" w:rsidRDefault="006612DD" w:rsidP="007A7AC3">
            <w:pPr>
              <w:spacing w:before="40" w:after="40"/>
              <w:ind w:left="100" w:right="100"/>
              <w:jc w:val="right"/>
              <w:rPr>
                <w:rFonts w:cs="Arial"/>
              </w:rPr>
            </w:pPr>
            <w:r w:rsidRPr="00B2525C">
              <w:rPr>
                <w:rFonts w:eastAsia="Arial" w:cs="Arial"/>
                <w:color w:val="111111"/>
              </w:rPr>
              <w:t>81</w:t>
            </w:r>
          </w:p>
        </w:tc>
        <w:tc>
          <w:tcPr>
            <w:tcW w:w="1033" w:type="dxa"/>
            <w:shd w:val="clear" w:color="auto" w:fill="FFFFFF"/>
            <w:tcMar>
              <w:top w:w="0" w:type="dxa"/>
              <w:left w:w="0" w:type="dxa"/>
              <w:bottom w:w="0" w:type="dxa"/>
              <w:right w:w="0" w:type="dxa"/>
            </w:tcMar>
            <w:vAlign w:val="center"/>
          </w:tcPr>
          <w:p w14:paraId="1C351155" w14:textId="77777777" w:rsidR="006612DD" w:rsidRPr="00B2525C" w:rsidRDefault="006612DD" w:rsidP="007A7AC3">
            <w:pPr>
              <w:spacing w:before="40" w:after="40"/>
              <w:ind w:left="100" w:right="100"/>
              <w:jc w:val="right"/>
              <w:rPr>
                <w:rFonts w:cs="Arial"/>
              </w:rPr>
            </w:pPr>
            <w:r w:rsidRPr="00B2525C">
              <w:rPr>
                <w:rFonts w:eastAsia="Arial" w:cs="Arial"/>
                <w:color w:val="111111"/>
              </w:rPr>
              <w:t>112</w:t>
            </w:r>
          </w:p>
        </w:tc>
        <w:tc>
          <w:tcPr>
            <w:tcW w:w="1736" w:type="dxa"/>
            <w:shd w:val="clear" w:color="auto" w:fill="FFFFFF"/>
            <w:tcMar>
              <w:top w:w="0" w:type="dxa"/>
              <w:left w:w="0" w:type="dxa"/>
              <w:bottom w:w="0" w:type="dxa"/>
              <w:right w:w="0" w:type="dxa"/>
            </w:tcMar>
            <w:vAlign w:val="center"/>
          </w:tcPr>
          <w:p w14:paraId="3AE69FD4" w14:textId="77777777" w:rsidR="006612DD" w:rsidRPr="00B2525C" w:rsidRDefault="006612DD" w:rsidP="007A7AC3">
            <w:pPr>
              <w:spacing w:before="40" w:after="40"/>
              <w:ind w:left="100" w:right="100"/>
              <w:jc w:val="right"/>
              <w:rPr>
                <w:rFonts w:cs="Arial"/>
              </w:rPr>
            </w:pPr>
            <w:r w:rsidRPr="00B2525C">
              <w:rPr>
                <w:rFonts w:eastAsia="Arial" w:cs="Arial"/>
                <w:color w:val="111111"/>
              </w:rPr>
              <w:t>31</w:t>
            </w:r>
          </w:p>
        </w:tc>
      </w:tr>
      <w:tr w:rsidR="006612DD" w:rsidRPr="00B2525C" w14:paraId="6E261B3A" w14:textId="77777777" w:rsidTr="00BB25FB">
        <w:trPr>
          <w:cantSplit/>
          <w:trHeight w:val="401"/>
          <w:jc w:val="center"/>
        </w:trPr>
        <w:tc>
          <w:tcPr>
            <w:tcW w:w="3266" w:type="dxa"/>
            <w:shd w:val="clear" w:color="auto" w:fill="FFFFFF"/>
            <w:tcMar>
              <w:top w:w="0" w:type="dxa"/>
              <w:left w:w="0" w:type="dxa"/>
              <w:bottom w:w="0" w:type="dxa"/>
              <w:right w:w="0" w:type="dxa"/>
            </w:tcMar>
            <w:vAlign w:val="center"/>
          </w:tcPr>
          <w:p w14:paraId="3C0AEEB7" w14:textId="77777777" w:rsidR="006612DD" w:rsidRPr="00B2525C" w:rsidRDefault="006612DD" w:rsidP="007A7AC3">
            <w:pPr>
              <w:spacing w:before="40" w:after="40"/>
              <w:ind w:left="100" w:right="100"/>
              <w:rPr>
                <w:rFonts w:cs="Arial"/>
              </w:rPr>
            </w:pPr>
            <w:r w:rsidRPr="00B2525C">
              <w:rPr>
                <w:rFonts w:eastAsia="Arial" w:cs="Arial"/>
                <w:color w:val="111111"/>
              </w:rPr>
              <w:t>Essendon - Aberfeldie</w:t>
            </w:r>
          </w:p>
        </w:tc>
        <w:tc>
          <w:tcPr>
            <w:tcW w:w="1033" w:type="dxa"/>
            <w:shd w:val="clear" w:color="auto" w:fill="FFFFFF"/>
            <w:tcMar>
              <w:top w:w="0" w:type="dxa"/>
              <w:left w:w="0" w:type="dxa"/>
              <w:bottom w:w="0" w:type="dxa"/>
              <w:right w:w="0" w:type="dxa"/>
            </w:tcMar>
            <w:vAlign w:val="center"/>
          </w:tcPr>
          <w:p w14:paraId="0A74BD13" w14:textId="77777777" w:rsidR="006612DD" w:rsidRPr="00B2525C" w:rsidRDefault="006612DD" w:rsidP="007A7AC3">
            <w:pPr>
              <w:spacing w:before="40" w:after="40"/>
              <w:ind w:left="100" w:right="100"/>
              <w:jc w:val="right"/>
              <w:rPr>
                <w:rFonts w:cs="Arial"/>
              </w:rPr>
            </w:pPr>
            <w:r w:rsidRPr="00B2525C">
              <w:rPr>
                <w:rFonts w:eastAsia="Arial" w:cs="Arial"/>
                <w:color w:val="111111"/>
              </w:rPr>
              <w:t>71</w:t>
            </w:r>
          </w:p>
        </w:tc>
        <w:tc>
          <w:tcPr>
            <w:tcW w:w="1033" w:type="dxa"/>
            <w:shd w:val="clear" w:color="auto" w:fill="FFFFFF"/>
            <w:tcMar>
              <w:top w:w="0" w:type="dxa"/>
              <w:left w:w="0" w:type="dxa"/>
              <w:bottom w:w="0" w:type="dxa"/>
              <w:right w:w="0" w:type="dxa"/>
            </w:tcMar>
            <w:vAlign w:val="center"/>
          </w:tcPr>
          <w:p w14:paraId="3B86262B" w14:textId="77777777" w:rsidR="006612DD" w:rsidRPr="00B2525C" w:rsidRDefault="006612DD" w:rsidP="007A7AC3">
            <w:pPr>
              <w:spacing w:before="40" w:after="40"/>
              <w:ind w:left="100" w:right="100"/>
              <w:jc w:val="right"/>
              <w:rPr>
                <w:rFonts w:cs="Arial"/>
              </w:rPr>
            </w:pPr>
            <w:r w:rsidRPr="00B2525C">
              <w:rPr>
                <w:rFonts w:eastAsia="Arial" w:cs="Arial"/>
                <w:color w:val="111111"/>
              </w:rPr>
              <w:t>76</w:t>
            </w:r>
          </w:p>
        </w:tc>
        <w:tc>
          <w:tcPr>
            <w:tcW w:w="1736" w:type="dxa"/>
            <w:shd w:val="clear" w:color="auto" w:fill="FFFFFF"/>
            <w:tcMar>
              <w:top w:w="0" w:type="dxa"/>
              <w:left w:w="0" w:type="dxa"/>
              <w:bottom w:w="0" w:type="dxa"/>
              <w:right w:w="0" w:type="dxa"/>
            </w:tcMar>
            <w:vAlign w:val="center"/>
          </w:tcPr>
          <w:p w14:paraId="2473162A" w14:textId="77777777" w:rsidR="006612DD" w:rsidRPr="00B2525C" w:rsidRDefault="006612DD" w:rsidP="007A7AC3">
            <w:pPr>
              <w:spacing w:before="40" w:after="40"/>
              <w:ind w:left="100" w:right="100"/>
              <w:jc w:val="right"/>
              <w:rPr>
                <w:rFonts w:cs="Arial"/>
              </w:rPr>
            </w:pPr>
            <w:r w:rsidRPr="00B2525C">
              <w:rPr>
                <w:rFonts w:eastAsia="Arial" w:cs="Arial"/>
                <w:color w:val="111111"/>
              </w:rPr>
              <w:t>5</w:t>
            </w:r>
          </w:p>
        </w:tc>
      </w:tr>
      <w:tr w:rsidR="006612DD" w:rsidRPr="00B2525C" w14:paraId="5DC9AE2D" w14:textId="77777777" w:rsidTr="00BB25FB">
        <w:trPr>
          <w:cantSplit/>
          <w:trHeight w:val="385"/>
          <w:jc w:val="center"/>
        </w:trPr>
        <w:tc>
          <w:tcPr>
            <w:tcW w:w="3266" w:type="dxa"/>
            <w:shd w:val="clear" w:color="auto" w:fill="FFFFFF"/>
            <w:tcMar>
              <w:top w:w="0" w:type="dxa"/>
              <w:left w:w="0" w:type="dxa"/>
              <w:bottom w:w="0" w:type="dxa"/>
              <w:right w:w="0" w:type="dxa"/>
            </w:tcMar>
            <w:vAlign w:val="center"/>
          </w:tcPr>
          <w:p w14:paraId="46EF7555" w14:textId="77777777" w:rsidR="006612DD" w:rsidRPr="00B2525C" w:rsidRDefault="006612DD" w:rsidP="007A7AC3">
            <w:pPr>
              <w:spacing w:before="40" w:after="40"/>
              <w:ind w:left="100" w:right="100"/>
              <w:rPr>
                <w:rFonts w:cs="Arial"/>
              </w:rPr>
            </w:pPr>
            <w:r w:rsidRPr="00B2525C">
              <w:rPr>
                <w:rFonts w:eastAsia="Arial" w:cs="Arial"/>
                <w:color w:val="111111"/>
              </w:rPr>
              <w:t>Moonee Ponds</w:t>
            </w:r>
          </w:p>
        </w:tc>
        <w:tc>
          <w:tcPr>
            <w:tcW w:w="1033" w:type="dxa"/>
            <w:shd w:val="clear" w:color="auto" w:fill="FFFFFF"/>
            <w:tcMar>
              <w:top w:w="0" w:type="dxa"/>
              <w:left w:w="0" w:type="dxa"/>
              <w:bottom w:w="0" w:type="dxa"/>
              <w:right w:w="0" w:type="dxa"/>
            </w:tcMar>
            <w:vAlign w:val="center"/>
          </w:tcPr>
          <w:p w14:paraId="6B75220E" w14:textId="77777777" w:rsidR="006612DD" w:rsidRPr="00B2525C" w:rsidRDefault="006612DD" w:rsidP="007A7AC3">
            <w:pPr>
              <w:spacing w:before="40" w:after="40"/>
              <w:ind w:left="100" w:right="100"/>
              <w:jc w:val="right"/>
              <w:rPr>
                <w:rFonts w:cs="Arial"/>
              </w:rPr>
            </w:pPr>
            <w:r w:rsidRPr="00B2525C">
              <w:rPr>
                <w:rFonts w:eastAsia="Arial" w:cs="Arial"/>
                <w:color w:val="111111"/>
              </w:rPr>
              <w:t>59</w:t>
            </w:r>
          </w:p>
        </w:tc>
        <w:tc>
          <w:tcPr>
            <w:tcW w:w="1033" w:type="dxa"/>
            <w:shd w:val="clear" w:color="auto" w:fill="FFFFFF"/>
            <w:tcMar>
              <w:top w:w="0" w:type="dxa"/>
              <w:left w:w="0" w:type="dxa"/>
              <w:bottom w:w="0" w:type="dxa"/>
              <w:right w:w="0" w:type="dxa"/>
            </w:tcMar>
            <w:vAlign w:val="center"/>
          </w:tcPr>
          <w:p w14:paraId="07A86DAC" w14:textId="77777777" w:rsidR="006612DD" w:rsidRPr="00B2525C" w:rsidRDefault="006612DD" w:rsidP="007A7AC3">
            <w:pPr>
              <w:spacing w:before="40" w:after="40"/>
              <w:ind w:left="100" w:right="100"/>
              <w:jc w:val="right"/>
              <w:rPr>
                <w:rFonts w:cs="Arial"/>
              </w:rPr>
            </w:pPr>
            <w:r w:rsidRPr="00B2525C">
              <w:rPr>
                <w:rFonts w:eastAsia="Arial" w:cs="Arial"/>
                <w:color w:val="111111"/>
              </w:rPr>
              <w:t>43</w:t>
            </w:r>
          </w:p>
        </w:tc>
        <w:tc>
          <w:tcPr>
            <w:tcW w:w="1736" w:type="dxa"/>
            <w:shd w:val="clear" w:color="auto" w:fill="FFFFFF"/>
            <w:tcMar>
              <w:top w:w="0" w:type="dxa"/>
              <w:left w:w="0" w:type="dxa"/>
              <w:bottom w:w="0" w:type="dxa"/>
              <w:right w:w="0" w:type="dxa"/>
            </w:tcMar>
            <w:vAlign w:val="center"/>
          </w:tcPr>
          <w:p w14:paraId="63841941" w14:textId="77777777" w:rsidR="006612DD" w:rsidRPr="00B2525C" w:rsidRDefault="006612DD" w:rsidP="007A7AC3">
            <w:pPr>
              <w:spacing w:before="40" w:after="40"/>
              <w:ind w:left="100" w:right="100"/>
              <w:jc w:val="right"/>
              <w:rPr>
                <w:rFonts w:cs="Arial"/>
              </w:rPr>
            </w:pPr>
            <w:r w:rsidRPr="00B2525C">
              <w:rPr>
                <w:rFonts w:eastAsia="Arial" w:cs="Arial"/>
                <w:color w:val="111111"/>
              </w:rPr>
              <w:t>-16</w:t>
            </w:r>
          </w:p>
        </w:tc>
      </w:tr>
      <w:tr w:rsidR="006612DD" w:rsidRPr="00B2525C" w14:paraId="77BDCF3E" w14:textId="77777777" w:rsidTr="00BB25FB">
        <w:trPr>
          <w:cantSplit/>
          <w:trHeight w:val="401"/>
          <w:jc w:val="center"/>
        </w:trPr>
        <w:tc>
          <w:tcPr>
            <w:tcW w:w="3266" w:type="dxa"/>
            <w:shd w:val="clear" w:color="auto" w:fill="FFFFFF"/>
            <w:tcMar>
              <w:top w:w="0" w:type="dxa"/>
              <w:left w:w="0" w:type="dxa"/>
              <w:bottom w:w="0" w:type="dxa"/>
              <w:right w:w="0" w:type="dxa"/>
            </w:tcMar>
            <w:vAlign w:val="center"/>
          </w:tcPr>
          <w:p w14:paraId="1D2BCCD7" w14:textId="77777777" w:rsidR="006612DD" w:rsidRPr="00B2525C" w:rsidRDefault="006612DD" w:rsidP="007A7AC3">
            <w:pPr>
              <w:spacing w:before="40" w:after="40"/>
              <w:ind w:left="100" w:right="100"/>
              <w:rPr>
                <w:rFonts w:cs="Arial"/>
              </w:rPr>
            </w:pPr>
            <w:r w:rsidRPr="00B2525C">
              <w:rPr>
                <w:rFonts w:eastAsia="Arial" w:cs="Arial"/>
                <w:color w:val="111111"/>
              </w:rPr>
              <w:t>Keilor East</w:t>
            </w:r>
          </w:p>
        </w:tc>
        <w:tc>
          <w:tcPr>
            <w:tcW w:w="1033" w:type="dxa"/>
            <w:shd w:val="clear" w:color="auto" w:fill="FFFFFF"/>
            <w:tcMar>
              <w:top w:w="0" w:type="dxa"/>
              <w:left w:w="0" w:type="dxa"/>
              <w:bottom w:w="0" w:type="dxa"/>
              <w:right w:w="0" w:type="dxa"/>
            </w:tcMar>
            <w:vAlign w:val="center"/>
          </w:tcPr>
          <w:p w14:paraId="345E1B70" w14:textId="77777777" w:rsidR="006612DD" w:rsidRPr="00B2525C" w:rsidRDefault="006612DD" w:rsidP="007A7AC3">
            <w:pPr>
              <w:spacing w:before="40" w:after="40"/>
              <w:ind w:left="100" w:right="100"/>
              <w:jc w:val="right"/>
              <w:rPr>
                <w:rFonts w:cs="Arial"/>
              </w:rPr>
            </w:pPr>
            <w:r w:rsidRPr="00B2525C">
              <w:rPr>
                <w:rFonts w:eastAsia="Arial" w:cs="Arial"/>
                <w:color w:val="111111"/>
              </w:rPr>
              <w:t>41</w:t>
            </w:r>
          </w:p>
        </w:tc>
        <w:tc>
          <w:tcPr>
            <w:tcW w:w="1033" w:type="dxa"/>
            <w:shd w:val="clear" w:color="auto" w:fill="FFFFFF"/>
            <w:tcMar>
              <w:top w:w="0" w:type="dxa"/>
              <w:left w:w="0" w:type="dxa"/>
              <w:bottom w:w="0" w:type="dxa"/>
              <w:right w:w="0" w:type="dxa"/>
            </w:tcMar>
            <w:vAlign w:val="center"/>
          </w:tcPr>
          <w:p w14:paraId="194F6E88" w14:textId="77777777" w:rsidR="006612DD" w:rsidRPr="00B2525C" w:rsidRDefault="006612DD" w:rsidP="007A7AC3">
            <w:pPr>
              <w:spacing w:before="40" w:after="40"/>
              <w:ind w:left="100" w:right="100"/>
              <w:jc w:val="right"/>
              <w:rPr>
                <w:rFonts w:cs="Arial"/>
              </w:rPr>
            </w:pPr>
            <w:r w:rsidRPr="00B2525C">
              <w:rPr>
                <w:rFonts w:eastAsia="Arial" w:cs="Arial"/>
                <w:color w:val="111111"/>
              </w:rPr>
              <w:t>18</w:t>
            </w:r>
          </w:p>
        </w:tc>
        <w:tc>
          <w:tcPr>
            <w:tcW w:w="1736" w:type="dxa"/>
            <w:shd w:val="clear" w:color="auto" w:fill="FFFFFF"/>
            <w:tcMar>
              <w:top w:w="0" w:type="dxa"/>
              <w:left w:w="0" w:type="dxa"/>
              <w:bottom w:w="0" w:type="dxa"/>
              <w:right w:w="0" w:type="dxa"/>
            </w:tcMar>
            <w:vAlign w:val="center"/>
          </w:tcPr>
          <w:p w14:paraId="17501EE4" w14:textId="77777777" w:rsidR="006612DD" w:rsidRPr="00B2525C" w:rsidRDefault="006612DD" w:rsidP="007A7AC3">
            <w:pPr>
              <w:spacing w:before="40" w:after="40"/>
              <w:ind w:left="100" w:right="100"/>
              <w:jc w:val="right"/>
              <w:rPr>
                <w:rFonts w:cs="Arial"/>
              </w:rPr>
            </w:pPr>
            <w:r w:rsidRPr="00B2525C">
              <w:rPr>
                <w:rFonts w:eastAsia="Arial" w:cs="Arial"/>
                <w:color w:val="111111"/>
              </w:rPr>
              <w:t>-23</w:t>
            </w:r>
          </w:p>
        </w:tc>
      </w:tr>
      <w:tr w:rsidR="006612DD" w:rsidRPr="00B2525C" w14:paraId="198A218F" w14:textId="77777777" w:rsidTr="00BB25FB">
        <w:trPr>
          <w:cantSplit/>
          <w:trHeight w:val="385"/>
          <w:jc w:val="center"/>
        </w:trPr>
        <w:tc>
          <w:tcPr>
            <w:tcW w:w="3266" w:type="dxa"/>
            <w:shd w:val="clear" w:color="auto" w:fill="FFFFFF"/>
            <w:tcMar>
              <w:top w:w="0" w:type="dxa"/>
              <w:left w:w="0" w:type="dxa"/>
              <w:bottom w:w="0" w:type="dxa"/>
              <w:right w:w="0" w:type="dxa"/>
            </w:tcMar>
            <w:vAlign w:val="center"/>
          </w:tcPr>
          <w:p w14:paraId="47C46320" w14:textId="77777777" w:rsidR="006612DD" w:rsidRPr="00B2525C" w:rsidRDefault="006612DD" w:rsidP="007A7AC3">
            <w:pPr>
              <w:spacing w:before="40" w:after="40"/>
              <w:ind w:left="100" w:right="100"/>
              <w:rPr>
                <w:rFonts w:cs="Arial"/>
              </w:rPr>
            </w:pPr>
            <w:r w:rsidRPr="00B2525C">
              <w:rPr>
                <w:rFonts w:eastAsia="Arial" w:cs="Arial"/>
                <w:color w:val="111111"/>
              </w:rPr>
              <w:t>Airport West</w:t>
            </w:r>
          </w:p>
        </w:tc>
        <w:tc>
          <w:tcPr>
            <w:tcW w:w="1033" w:type="dxa"/>
            <w:shd w:val="clear" w:color="auto" w:fill="FFFFFF"/>
            <w:tcMar>
              <w:top w:w="0" w:type="dxa"/>
              <w:left w:w="0" w:type="dxa"/>
              <w:bottom w:w="0" w:type="dxa"/>
              <w:right w:w="0" w:type="dxa"/>
            </w:tcMar>
            <w:vAlign w:val="center"/>
          </w:tcPr>
          <w:p w14:paraId="541BA827" w14:textId="77777777" w:rsidR="006612DD" w:rsidRPr="00B2525C" w:rsidRDefault="006612DD" w:rsidP="007A7AC3">
            <w:pPr>
              <w:spacing w:before="40" w:after="40"/>
              <w:ind w:left="100" w:right="100"/>
              <w:jc w:val="right"/>
              <w:rPr>
                <w:rFonts w:cs="Arial"/>
              </w:rPr>
            </w:pPr>
            <w:r w:rsidRPr="00B2525C">
              <w:rPr>
                <w:rFonts w:eastAsia="Arial" w:cs="Arial"/>
                <w:color w:val="111111"/>
              </w:rPr>
              <w:t>5</w:t>
            </w:r>
          </w:p>
        </w:tc>
        <w:tc>
          <w:tcPr>
            <w:tcW w:w="1033" w:type="dxa"/>
            <w:shd w:val="clear" w:color="auto" w:fill="FFFFFF"/>
            <w:tcMar>
              <w:top w:w="0" w:type="dxa"/>
              <w:left w:w="0" w:type="dxa"/>
              <w:bottom w:w="0" w:type="dxa"/>
              <w:right w:w="0" w:type="dxa"/>
            </w:tcMar>
            <w:vAlign w:val="center"/>
          </w:tcPr>
          <w:p w14:paraId="440EBEBA" w14:textId="77777777" w:rsidR="006612DD" w:rsidRPr="00B2525C" w:rsidRDefault="006612DD" w:rsidP="007A7AC3">
            <w:pPr>
              <w:spacing w:before="40" w:after="40"/>
              <w:ind w:left="100" w:right="100"/>
              <w:jc w:val="right"/>
              <w:rPr>
                <w:rFonts w:cs="Arial"/>
              </w:rPr>
            </w:pPr>
            <w:r w:rsidRPr="00B2525C">
              <w:rPr>
                <w:rFonts w:eastAsia="Arial" w:cs="Arial"/>
                <w:color w:val="111111"/>
              </w:rPr>
              <w:t>13</w:t>
            </w:r>
          </w:p>
        </w:tc>
        <w:tc>
          <w:tcPr>
            <w:tcW w:w="1736" w:type="dxa"/>
            <w:shd w:val="clear" w:color="auto" w:fill="FFFFFF"/>
            <w:tcMar>
              <w:top w:w="0" w:type="dxa"/>
              <w:left w:w="0" w:type="dxa"/>
              <w:bottom w:w="0" w:type="dxa"/>
              <w:right w:w="0" w:type="dxa"/>
            </w:tcMar>
            <w:vAlign w:val="center"/>
          </w:tcPr>
          <w:p w14:paraId="04B7C841" w14:textId="77777777" w:rsidR="006612DD" w:rsidRPr="00B2525C" w:rsidRDefault="006612DD" w:rsidP="007A7AC3">
            <w:pPr>
              <w:spacing w:before="40" w:after="40"/>
              <w:ind w:left="100" w:right="100"/>
              <w:jc w:val="right"/>
              <w:rPr>
                <w:rFonts w:cs="Arial"/>
              </w:rPr>
            </w:pPr>
            <w:r w:rsidRPr="00B2525C">
              <w:rPr>
                <w:rFonts w:eastAsia="Arial" w:cs="Arial"/>
                <w:color w:val="111111"/>
              </w:rPr>
              <w:t>8</w:t>
            </w:r>
          </w:p>
        </w:tc>
      </w:tr>
      <w:tr w:rsidR="006612DD" w:rsidRPr="00B2525C" w14:paraId="46679BBA" w14:textId="77777777" w:rsidTr="00BB25FB">
        <w:trPr>
          <w:cantSplit/>
          <w:trHeight w:val="385"/>
          <w:jc w:val="center"/>
        </w:trPr>
        <w:tc>
          <w:tcPr>
            <w:tcW w:w="3266" w:type="dxa"/>
            <w:shd w:val="clear" w:color="auto" w:fill="FFFFFF"/>
            <w:tcMar>
              <w:top w:w="0" w:type="dxa"/>
              <w:left w:w="0" w:type="dxa"/>
              <w:bottom w:w="0" w:type="dxa"/>
              <w:right w:w="0" w:type="dxa"/>
            </w:tcMar>
            <w:vAlign w:val="center"/>
          </w:tcPr>
          <w:p w14:paraId="63362A69" w14:textId="77777777" w:rsidR="006612DD" w:rsidRPr="00B2525C" w:rsidRDefault="006612DD" w:rsidP="007A7AC3">
            <w:pPr>
              <w:spacing w:before="40" w:after="40"/>
              <w:ind w:left="100" w:right="100"/>
              <w:rPr>
                <w:rFonts w:cs="Arial"/>
              </w:rPr>
            </w:pPr>
            <w:r w:rsidRPr="00B2525C">
              <w:rPr>
                <w:rFonts w:eastAsia="Arial" w:cs="Arial"/>
                <w:color w:val="111111"/>
              </w:rPr>
              <w:t>Strathmore</w:t>
            </w:r>
          </w:p>
        </w:tc>
        <w:tc>
          <w:tcPr>
            <w:tcW w:w="1033" w:type="dxa"/>
            <w:shd w:val="clear" w:color="auto" w:fill="FFFFFF"/>
            <w:tcMar>
              <w:top w:w="0" w:type="dxa"/>
              <w:left w:w="0" w:type="dxa"/>
              <w:bottom w:w="0" w:type="dxa"/>
              <w:right w:w="0" w:type="dxa"/>
            </w:tcMar>
            <w:vAlign w:val="center"/>
          </w:tcPr>
          <w:p w14:paraId="3005F894" w14:textId="77777777" w:rsidR="006612DD" w:rsidRPr="00B2525C" w:rsidRDefault="006612DD" w:rsidP="007A7AC3">
            <w:pPr>
              <w:spacing w:before="40" w:after="40"/>
              <w:ind w:left="100" w:right="100"/>
              <w:jc w:val="right"/>
              <w:rPr>
                <w:rFonts w:cs="Arial"/>
              </w:rPr>
            </w:pPr>
            <w:r w:rsidRPr="00B2525C">
              <w:rPr>
                <w:rFonts w:eastAsia="Arial" w:cs="Arial"/>
                <w:color w:val="111111"/>
              </w:rPr>
              <w:t>0</w:t>
            </w:r>
          </w:p>
        </w:tc>
        <w:tc>
          <w:tcPr>
            <w:tcW w:w="1033" w:type="dxa"/>
            <w:shd w:val="clear" w:color="auto" w:fill="FFFFFF"/>
            <w:tcMar>
              <w:top w:w="0" w:type="dxa"/>
              <w:left w:w="0" w:type="dxa"/>
              <w:bottom w:w="0" w:type="dxa"/>
              <w:right w:w="0" w:type="dxa"/>
            </w:tcMar>
            <w:vAlign w:val="center"/>
          </w:tcPr>
          <w:p w14:paraId="701E17F6" w14:textId="77777777" w:rsidR="006612DD" w:rsidRPr="00B2525C" w:rsidRDefault="006612DD" w:rsidP="007A7AC3">
            <w:pPr>
              <w:spacing w:before="40" w:after="40"/>
              <w:ind w:left="100" w:right="100"/>
              <w:jc w:val="right"/>
              <w:rPr>
                <w:rFonts w:cs="Arial"/>
              </w:rPr>
            </w:pPr>
            <w:r w:rsidRPr="00B2525C">
              <w:rPr>
                <w:rFonts w:eastAsia="Arial" w:cs="Arial"/>
                <w:color w:val="111111"/>
              </w:rPr>
              <w:t>10</w:t>
            </w:r>
          </w:p>
        </w:tc>
        <w:tc>
          <w:tcPr>
            <w:tcW w:w="1736" w:type="dxa"/>
            <w:shd w:val="clear" w:color="auto" w:fill="FFFFFF"/>
            <w:tcMar>
              <w:top w:w="0" w:type="dxa"/>
              <w:left w:w="0" w:type="dxa"/>
              <w:bottom w:w="0" w:type="dxa"/>
              <w:right w:w="0" w:type="dxa"/>
            </w:tcMar>
            <w:vAlign w:val="center"/>
          </w:tcPr>
          <w:p w14:paraId="4D8A1C2C" w14:textId="77777777" w:rsidR="006612DD" w:rsidRPr="00B2525C" w:rsidRDefault="006612DD" w:rsidP="007A7AC3">
            <w:pPr>
              <w:spacing w:before="40" w:after="40"/>
              <w:ind w:left="100" w:right="100"/>
              <w:jc w:val="right"/>
              <w:rPr>
                <w:rFonts w:cs="Arial"/>
              </w:rPr>
            </w:pPr>
            <w:r w:rsidRPr="00B2525C">
              <w:rPr>
                <w:rFonts w:eastAsia="Arial" w:cs="Arial"/>
                <w:color w:val="111111"/>
              </w:rPr>
              <w:t>10</w:t>
            </w:r>
          </w:p>
        </w:tc>
      </w:tr>
      <w:tr w:rsidR="006612DD" w:rsidRPr="00B2525C" w14:paraId="106AB3F8" w14:textId="77777777" w:rsidTr="00BB25FB">
        <w:trPr>
          <w:cantSplit/>
          <w:trHeight w:val="401"/>
          <w:jc w:val="center"/>
        </w:trPr>
        <w:tc>
          <w:tcPr>
            <w:tcW w:w="3266" w:type="dxa"/>
            <w:shd w:val="clear" w:color="auto" w:fill="FFFFFF"/>
            <w:tcMar>
              <w:top w:w="0" w:type="dxa"/>
              <w:left w:w="0" w:type="dxa"/>
              <w:bottom w:w="0" w:type="dxa"/>
              <w:right w:w="0" w:type="dxa"/>
            </w:tcMar>
            <w:vAlign w:val="center"/>
          </w:tcPr>
          <w:p w14:paraId="0FCDFCF3" w14:textId="77777777" w:rsidR="006612DD" w:rsidRPr="00B2525C" w:rsidRDefault="006612DD" w:rsidP="007A7AC3">
            <w:pPr>
              <w:spacing w:before="40" w:after="40"/>
              <w:ind w:left="100" w:right="100"/>
              <w:rPr>
                <w:rFonts w:cs="Arial"/>
              </w:rPr>
            </w:pPr>
            <w:r w:rsidRPr="00B2525C">
              <w:rPr>
                <w:rFonts w:eastAsia="Arial" w:cs="Arial"/>
                <w:color w:val="111111"/>
              </w:rPr>
              <w:t>Niddrie - Essendon West</w:t>
            </w:r>
          </w:p>
        </w:tc>
        <w:tc>
          <w:tcPr>
            <w:tcW w:w="1033" w:type="dxa"/>
            <w:shd w:val="clear" w:color="auto" w:fill="FFFFFF"/>
            <w:tcMar>
              <w:top w:w="0" w:type="dxa"/>
              <w:left w:w="0" w:type="dxa"/>
              <w:bottom w:w="0" w:type="dxa"/>
              <w:right w:w="0" w:type="dxa"/>
            </w:tcMar>
            <w:vAlign w:val="center"/>
          </w:tcPr>
          <w:p w14:paraId="6C6DA99A" w14:textId="77777777" w:rsidR="006612DD" w:rsidRPr="00B2525C" w:rsidRDefault="006612DD" w:rsidP="007A7AC3">
            <w:pPr>
              <w:spacing w:before="40" w:after="40"/>
              <w:ind w:left="100" w:right="100"/>
              <w:jc w:val="right"/>
              <w:rPr>
                <w:rFonts w:cs="Arial"/>
              </w:rPr>
            </w:pPr>
            <w:r w:rsidRPr="00B2525C">
              <w:rPr>
                <w:rFonts w:eastAsia="Arial" w:cs="Arial"/>
                <w:color w:val="111111"/>
              </w:rPr>
              <w:t>17</w:t>
            </w:r>
          </w:p>
        </w:tc>
        <w:tc>
          <w:tcPr>
            <w:tcW w:w="1033" w:type="dxa"/>
            <w:shd w:val="clear" w:color="auto" w:fill="FFFFFF"/>
            <w:tcMar>
              <w:top w:w="0" w:type="dxa"/>
              <w:left w:w="0" w:type="dxa"/>
              <w:bottom w:w="0" w:type="dxa"/>
              <w:right w:w="0" w:type="dxa"/>
            </w:tcMar>
            <w:vAlign w:val="center"/>
          </w:tcPr>
          <w:p w14:paraId="4610630B" w14:textId="77777777" w:rsidR="006612DD" w:rsidRPr="00B2525C" w:rsidRDefault="006612DD" w:rsidP="007A7AC3">
            <w:pPr>
              <w:spacing w:before="40" w:after="40"/>
              <w:ind w:left="100" w:right="100"/>
              <w:jc w:val="right"/>
              <w:rPr>
                <w:rFonts w:cs="Arial"/>
              </w:rPr>
            </w:pPr>
            <w:r w:rsidRPr="00B2525C">
              <w:rPr>
                <w:rFonts w:eastAsia="Arial" w:cs="Arial"/>
                <w:color w:val="111111"/>
              </w:rPr>
              <w:t>4</w:t>
            </w:r>
          </w:p>
        </w:tc>
        <w:tc>
          <w:tcPr>
            <w:tcW w:w="1736" w:type="dxa"/>
            <w:shd w:val="clear" w:color="auto" w:fill="FFFFFF"/>
            <w:tcMar>
              <w:top w:w="0" w:type="dxa"/>
              <w:left w:w="0" w:type="dxa"/>
              <w:bottom w:w="0" w:type="dxa"/>
              <w:right w:w="0" w:type="dxa"/>
            </w:tcMar>
            <w:vAlign w:val="center"/>
          </w:tcPr>
          <w:p w14:paraId="7DB47EA0" w14:textId="77777777" w:rsidR="006612DD" w:rsidRPr="00B2525C" w:rsidRDefault="006612DD" w:rsidP="007A7AC3">
            <w:pPr>
              <w:spacing w:before="40" w:after="40"/>
              <w:ind w:left="100" w:right="100"/>
              <w:jc w:val="right"/>
              <w:rPr>
                <w:rFonts w:cs="Arial"/>
              </w:rPr>
            </w:pPr>
            <w:r w:rsidRPr="00B2525C">
              <w:rPr>
                <w:rFonts w:eastAsia="Arial" w:cs="Arial"/>
                <w:color w:val="111111"/>
              </w:rPr>
              <w:t>-13</w:t>
            </w:r>
          </w:p>
        </w:tc>
      </w:tr>
      <w:tr w:rsidR="006612DD" w:rsidRPr="00B2525C" w14:paraId="65DE41F2" w14:textId="77777777" w:rsidTr="00BB25FB">
        <w:trPr>
          <w:cantSplit/>
          <w:trHeight w:val="385"/>
          <w:jc w:val="center"/>
        </w:trPr>
        <w:tc>
          <w:tcPr>
            <w:tcW w:w="3266" w:type="dxa"/>
            <w:tcBorders>
              <w:bottom w:val="single" w:sz="4" w:space="0" w:color="auto"/>
            </w:tcBorders>
            <w:shd w:val="clear" w:color="auto" w:fill="FFFFFF"/>
            <w:tcMar>
              <w:top w:w="0" w:type="dxa"/>
              <w:left w:w="0" w:type="dxa"/>
              <w:bottom w:w="0" w:type="dxa"/>
              <w:right w:w="0" w:type="dxa"/>
            </w:tcMar>
            <w:vAlign w:val="center"/>
          </w:tcPr>
          <w:p w14:paraId="6886DDAD" w14:textId="77777777" w:rsidR="006612DD" w:rsidRPr="00B2525C" w:rsidRDefault="006612DD" w:rsidP="007A7AC3">
            <w:pPr>
              <w:spacing w:before="40" w:after="40"/>
              <w:ind w:left="100" w:right="100"/>
              <w:rPr>
                <w:rFonts w:cs="Arial"/>
              </w:rPr>
            </w:pPr>
            <w:r w:rsidRPr="00B2525C">
              <w:rPr>
                <w:rFonts w:eastAsia="Arial" w:cs="Arial"/>
                <w:color w:val="111111"/>
              </w:rPr>
              <w:t>Essendon Airport</w:t>
            </w:r>
          </w:p>
        </w:tc>
        <w:tc>
          <w:tcPr>
            <w:tcW w:w="1033" w:type="dxa"/>
            <w:tcBorders>
              <w:bottom w:val="single" w:sz="4" w:space="0" w:color="auto"/>
            </w:tcBorders>
            <w:shd w:val="clear" w:color="auto" w:fill="FFFFFF"/>
            <w:tcMar>
              <w:top w:w="0" w:type="dxa"/>
              <w:left w:w="0" w:type="dxa"/>
              <w:bottom w:w="0" w:type="dxa"/>
              <w:right w:w="0" w:type="dxa"/>
            </w:tcMar>
            <w:vAlign w:val="center"/>
          </w:tcPr>
          <w:p w14:paraId="18F3129D" w14:textId="77777777" w:rsidR="006612DD" w:rsidRPr="00B2525C" w:rsidRDefault="006612DD" w:rsidP="007A7AC3">
            <w:pPr>
              <w:spacing w:before="40" w:after="40"/>
              <w:ind w:left="100" w:right="100"/>
              <w:jc w:val="right"/>
              <w:rPr>
                <w:rFonts w:cs="Arial"/>
              </w:rPr>
            </w:pPr>
            <w:r w:rsidRPr="00B2525C">
              <w:rPr>
                <w:rFonts w:eastAsia="Arial" w:cs="Arial"/>
                <w:color w:val="111111"/>
              </w:rPr>
              <w:t>0</w:t>
            </w:r>
          </w:p>
        </w:tc>
        <w:tc>
          <w:tcPr>
            <w:tcW w:w="1033" w:type="dxa"/>
            <w:tcBorders>
              <w:bottom w:val="single" w:sz="4" w:space="0" w:color="auto"/>
            </w:tcBorders>
            <w:shd w:val="clear" w:color="auto" w:fill="FFFFFF"/>
            <w:tcMar>
              <w:top w:w="0" w:type="dxa"/>
              <w:left w:w="0" w:type="dxa"/>
              <w:bottom w:w="0" w:type="dxa"/>
              <w:right w:w="0" w:type="dxa"/>
            </w:tcMar>
            <w:vAlign w:val="center"/>
          </w:tcPr>
          <w:p w14:paraId="401DBF91" w14:textId="77777777" w:rsidR="006612DD" w:rsidRPr="00B2525C" w:rsidRDefault="006612DD" w:rsidP="007A7AC3">
            <w:pPr>
              <w:spacing w:before="40" w:after="40"/>
              <w:ind w:left="100" w:right="100"/>
              <w:jc w:val="right"/>
              <w:rPr>
                <w:rFonts w:cs="Arial"/>
              </w:rPr>
            </w:pPr>
            <w:r w:rsidRPr="00B2525C">
              <w:rPr>
                <w:rFonts w:eastAsia="Arial" w:cs="Arial"/>
                <w:color w:val="111111"/>
              </w:rPr>
              <w:t>0</w:t>
            </w:r>
          </w:p>
        </w:tc>
        <w:tc>
          <w:tcPr>
            <w:tcW w:w="1736" w:type="dxa"/>
            <w:tcBorders>
              <w:bottom w:val="single" w:sz="4" w:space="0" w:color="auto"/>
            </w:tcBorders>
            <w:shd w:val="clear" w:color="auto" w:fill="FFFFFF"/>
            <w:tcMar>
              <w:top w:w="0" w:type="dxa"/>
              <w:left w:w="0" w:type="dxa"/>
              <w:bottom w:w="0" w:type="dxa"/>
              <w:right w:w="0" w:type="dxa"/>
            </w:tcMar>
            <w:vAlign w:val="center"/>
          </w:tcPr>
          <w:p w14:paraId="504AEFCC" w14:textId="77777777" w:rsidR="006612DD" w:rsidRPr="00B2525C" w:rsidRDefault="006612DD" w:rsidP="007A7AC3">
            <w:pPr>
              <w:spacing w:before="40" w:after="40"/>
              <w:ind w:left="100" w:right="100"/>
              <w:jc w:val="right"/>
              <w:rPr>
                <w:rFonts w:cs="Arial"/>
              </w:rPr>
            </w:pPr>
            <w:r w:rsidRPr="00B2525C">
              <w:rPr>
                <w:rFonts w:eastAsia="Arial" w:cs="Arial"/>
                <w:color w:val="111111"/>
              </w:rPr>
              <w:t>0</w:t>
            </w:r>
          </w:p>
        </w:tc>
      </w:tr>
      <w:tr w:rsidR="006612DD" w:rsidRPr="00B2525C" w14:paraId="571AEC4B" w14:textId="77777777" w:rsidTr="00BB25FB">
        <w:trPr>
          <w:cantSplit/>
          <w:trHeight w:val="262"/>
          <w:jc w:val="center"/>
        </w:trPr>
        <w:tc>
          <w:tcPr>
            <w:tcW w:w="7068" w:type="dxa"/>
            <w:gridSpan w:val="4"/>
            <w:tcBorders>
              <w:top w:val="single" w:sz="4" w:space="0" w:color="auto"/>
            </w:tcBorders>
            <w:shd w:val="clear" w:color="auto" w:fill="FFFFFF"/>
            <w:tcMar>
              <w:top w:w="0" w:type="dxa"/>
              <w:left w:w="0" w:type="dxa"/>
              <w:bottom w:w="0" w:type="dxa"/>
              <w:right w:w="0" w:type="dxa"/>
            </w:tcMar>
            <w:vAlign w:val="center"/>
          </w:tcPr>
          <w:p w14:paraId="1A94BCC7" w14:textId="77777777" w:rsidR="006612DD" w:rsidRPr="00237F4B" w:rsidRDefault="006612DD" w:rsidP="007A7AC3">
            <w:pPr>
              <w:spacing w:after="0"/>
              <w:rPr>
                <w:rFonts w:cs="Arial"/>
                <w:i/>
              </w:rPr>
            </w:pPr>
            <w:r w:rsidRPr="00237F4B">
              <w:rPr>
                <w:rFonts w:eastAsia="Arial" w:cs="Arial"/>
                <w:i/>
                <w:color w:val="000000"/>
                <w:sz w:val="20"/>
                <w:szCs w:val="20"/>
              </w:rPr>
              <w:t>Source: ABS, Census 2016</w:t>
            </w:r>
          </w:p>
        </w:tc>
      </w:tr>
    </w:tbl>
    <w:p w14:paraId="3EE7D675" w14:textId="77777777" w:rsidR="00237F4B" w:rsidRDefault="00237F4B" w:rsidP="006612DD">
      <w:pPr>
        <w:rPr>
          <w:rFonts w:cs="Arial"/>
        </w:rPr>
      </w:pPr>
      <w:r>
        <w:rPr>
          <w:rFonts w:cs="Arial"/>
        </w:rPr>
        <w:br w:type="page"/>
      </w:r>
    </w:p>
    <w:p w14:paraId="5F1B1ED8" w14:textId="01D86E74" w:rsidR="0050042D" w:rsidRPr="00B2525C" w:rsidRDefault="0050042D" w:rsidP="00584AC0">
      <w:pPr>
        <w:rPr>
          <w:rFonts w:cs="Arial"/>
        </w:rPr>
      </w:pPr>
      <w:r w:rsidRPr="00B2525C">
        <w:rPr>
          <w:rFonts w:cs="Arial"/>
        </w:rPr>
        <w:lastRenderedPageBreak/>
        <w:t>Specialist homelessness services (SHS) receive government funding to support people experiencing</w:t>
      </w:r>
      <w:r w:rsidR="009276F4">
        <w:rPr>
          <w:rFonts w:cs="Arial"/>
        </w:rPr>
        <w:t>,</w:t>
      </w:r>
      <w:r w:rsidRPr="00B2525C">
        <w:rPr>
          <w:rFonts w:cs="Arial"/>
        </w:rPr>
        <w:t xml:space="preserve"> or </w:t>
      </w:r>
      <w:r w:rsidR="00E079B2" w:rsidRPr="00B2525C">
        <w:rPr>
          <w:rFonts w:cs="Arial"/>
        </w:rPr>
        <w:t xml:space="preserve">who are </w:t>
      </w:r>
      <w:r w:rsidRPr="00B2525C">
        <w:rPr>
          <w:rFonts w:cs="Arial"/>
        </w:rPr>
        <w:t>at risk of</w:t>
      </w:r>
      <w:r w:rsidR="009276F4">
        <w:rPr>
          <w:rFonts w:cs="Arial"/>
        </w:rPr>
        <w:t>,</w:t>
      </w:r>
      <w:r w:rsidR="00584AC0" w:rsidRPr="00B2525C">
        <w:rPr>
          <w:rFonts w:cs="Arial"/>
        </w:rPr>
        <w:t xml:space="preserve"> </w:t>
      </w:r>
      <w:r w:rsidRPr="00B2525C">
        <w:rPr>
          <w:rFonts w:cs="Arial"/>
        </w:rPr>
        <w:t>homelessness.</w:t>
      </w:r>
      <w:r w:rsidR="00584AC0" w:rsidRPr="00B2525C">
        <w:rPr>
          <w:rFonts w:cs="Arial"/>
        </w:rPr>
        <w:t xml:space="preserve"> </w:t>
      </w:r>
      <w:r w:rsidRPr="00B2525C">
        <w:rPr>
          <w:rFonts w:cs="Arial"/>
        </w:rPr>
        <w:t xml:space="preserve">Of the </w:t>
      </w:r>
      <w:r w:rsidR="00584AC0" w:rsidRPr="00B2525C">
        <w:rPr>
          <w:rFonts w:cs="Arial"/>
        </w:rPr>
        <w:t xml:space="preserve">969 Moonee Valley </w:t>
      </w:r>
      <w:r w:rsidRPr="00B2525C">
        <w:rPr>
          <w:rFonts w:cs="Arial"/>
        </w:rPr>
        <w:t>clients assisted by Victorian SHS agencies in the financial year 2018-2019, there were</w:t>
      </w:r>
      <w:r w:rsidR="00584AC0" w:rsidRPr="00B2525C">
        <w:rPr>
          <w:rFonts w:cs="Arial"/>
        </w:rPr>
        <w:t xml:space="preserve"> almost double the </w:t>
      </w:r>
      <w:proofErr w:type="gramStart"/>
      <w:r w:rsidR="00584AC0" w:rsidRPr="00B2525C">
        <w:rPr>
          <w:rFonts w:cs="Arial"/>
        </w:rPr>
        <w:t>amount</w:t>
      </w:r>
      <w:proofErr w:type="gramEnd"/>
      <w:r w:rsidR="00584AC0" w:rsidRPr="00B2525C">
        <w:rPr>
          <w:rFonts w:cs="Arial"/>
        </w:rPr>
        <w:t xml:space="preserve"> of </w:t>
      </w:r>
      <w:r w:rsidRPr="00B2525C">
        <w:rPr>
          <w:rFonts w:cs="Arial"/>
        </w:rPr>
        <w:t xml:space="preserve">female clients </w:t>
      </w:r>
      <w:r w:rsidR="00584AC0" w:rsidRPr="00B2525C">
        <w:rPr>
          <w:rFonts w:cs="Arial"/>
        </w:rPr>
        <w:t xml:space="preserve">(622) than </w:t>
      </w:r>
      <w:r w:rsidRPr="00B2525C">
        <w:rPr>
          <w:rFonts w:cs="Arial"/>
        </w:rPr>
        <w:t>male clients</w:t>
      </w:r>
      <w:r w:rsidR="00DA4C07" w:rsidRPr="00B2525C">
        <w:rPr>
          <w:rFonts w:cs="Arial"/>
        </w:rPr>
        <w:t xml:space="preserve"> </w:t>
      </w:r>
      <w:r w:rsidR="00584AC0" w:rsidRPr="00B2525C">
        <w:rPr>
          <w:rFonts w:cs="Arial"/>
        </w:rPr>
        <w:t>(347). The number of clients in Moonee Valley was less than the average for Metro-West Region.</w:t>
      </w:r>
      <w:r w:rsidRPr="00B2525C">
        <w:rPr>
          <w:rFonts w:cs="Arial"/>
        </w:rPr>
        <w:t xml:space="preserve"> Rates of homelessness in Victoria are increasing most</w:t>
      </w:r>
      <w:r w:rsidR="00584AC0" w:rsidRPr="00B2525C">
        <w:rPr>
          <w:rFonts w:cs="Arial"/>
        </w:rPr>
        <w:t xml:space="preserve"> </w:t>
      </w:r>
      <w:r w:rsidRPr="00B2525C">
        <w:rPr>
          <w:rFonts w:cs="Arial"/>
        </w:rPr>
        <w:t>rapidly in the cohort of older women aged 65 to 74</w:t>
      </w:r>
      <w:r w:rsidR="00584AC0" w:rsidRPr="00B2525C">
        <w:rPr>
          <w:rFonts w:cs="Arial"/>
        </w:rPr>
        <w:t xml:space="preserve"> (Women’s Health West, 2021)</w:t>
      </w:r>
    </w:p>
    <w:p w14:paraId="2E7B243A" w14:textId="77777777" w:rsidR="008C65B3" w:rsidRPr="00B2525C" w:rsidRDefault="008C65B3" w:rsidP="00584AC0">
      <w:pPr>
        <w:rPr>
          <w:rFonts w:cs="Arial"/>
        </w:rPr>
      </w:pPr>
    </w:p>
    <w:p w14:paraId="4529A428" w14:textId="16C56FAC" w:rsidR="00584AC0" w:rsidRDefault="00BD3DEF" w:rsidP="00584AC0">
      <w:pPr>
        <w:rPr>
          <w:rFonts w:cs="Arial"/>
        </w:rPr>
      </w:pPr>
      <w:r>
        <w:rPr>
          <w:rFonts w:cs="Arial"/>
          <w:b/>
        </w:rPr>
        <w:t>Table</w:t>
      </w:r>
      <w:r w:rsidR="009276F4">
        <w:rPr>
          <w:rFonts w:cs="Arial"/>
          <w:b/>
        </w:rPr>
        <w:t xml:space="preserve"> </w:t>
      </w:r>
      <w:r w:rsidR="00283EAE">
        <w:rPr>
          <w:rFonts w:cs="Arial"/>
          <w:b/>
        </w:rPr>
        <w:t>8</w:t>
      </w:r>
      <w:r>
        <w:rPr>
          <w:rFonts w:cs="Arial"/>
          <w:b/>
        </w:rPr>
        <w:t xml:space="preserve">: </w:t>
      </w:r>
      <w:r w:rsidR="00584AC0" w:rsidRPr="007E39AB">
        <w:rPr>
          <w:rFonts w:cs="Arial"/>
        </w:rPr>
        <w:t>Homelessness- Number of Clients</w:t>
      </w:r>
      <w:r w:rsidR="008C65B3" w:rsidRPr="007E39AB">
        <w:rPr>
          <w:rFonts w:cs="Arial"/>
        </w:rPr>
        <w:t xml:space="preserve"> (Jul 2018- Jun 2019)</w:t>
      </w:r>
    </w:p>
    <w:p w14:paraId="698B5943" w14:textId="77777777" w:rsidR="00C918A0" w:rsidRPr="007E39AB" w:rsidRDefault="00C918A0" w:rsidP="00584AC0">
      <w:pPr>
        <w:rPr>
          <w:rFonts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741"/>
        <w:gridCol w:w="1764"/>
        <w:gridCol w:w="3762"/>
      </w:tblGrid>
      <w:tr w:rsidR="007E39AB" w:rsidRPr="00B2525C" w14:paraId="4FD9ADC0" w14:textId="77777777" w:rsidTr="00C918A0">
        <w:trPr>
          <w:trHeight w:val="449"/>
        </w:trPr>
        <w:tc>
          <w:tcPr>
            <w:tcW w:w="3509" w:type="dxa"/>
            <w:gridSpan w:val="2"/>
            <w:tcBorders>
              <w:top w:val="single" w:sz="4" w:space="0" w:color="auto"/>
              <w:bottom w:val="single" w:sz="4" w:space="0" w:color="auto"/>
            </w:tcBorders>
          </w:tcPr>
          <w:p w14:paraId="21EC4B2A" w14:textId="77777777" w:rsidR="007E39AB" w:rsidRPr="007E39AB" w:rsidRDefault="007E39AB" w:rsidP="007E39AB">
            <w:pPr>
              <w:spacing w:line="360" w:lineRule="auto"/>
              <w:jc w:val="center"/>
              <w:rPr>
                <w:rFonts w:cs="Arial"/>
              </w:rPr>
            </w:pPr>
            <w:r w:rsidRPr="007E39AB">
              <w:rPr>
                <w:rFonts w:cs="Arial"/>
              </w:rPr>
              <w:t>Moonee Valley</w:t>
            </w:r>
          </w:p>
        </w:tc>
        <w:tc>
          <w:tcPr>
            <w:tcW w:w="5538" w:type="dxa"/>
            <w:gridSpan w:val="2"/>
            <w:tcBorders>
              <w:top w:val="single" w:sz="4" w:space="0" w:color="auto"/>
              <w:bottom w:val="single" w:sz="4" w:space="0" w:color="auto"/>
            </w:tcBorders>
          </w:tcPr>
          <w:p w14:paraId="010C4C59" w14:textId="77777777" w:rsidR="007E39AB" w:rsidRPr="007E39AB" w:rsidRDefault="007E39AB" w:rsidP="007E39AB">
            <w:pPr>
              <w:spacing w:line="360" w:lineRule="auto"/>
              <w:jc w:val="center"/>
              <w:rPr>
                <w:rFonts w:cs="Arial"/>
              </w:rPr>
            </w:pPr>
            <w:r w:rsidRPr="007E39AB">
              <w:rPr>
                <w:rFonts w:cs="Arial"/>
              </w:rPr>
              <w:t>Metro West Region Average</w:t>
            </w:r>
          </w:p>
        </w:tc>
      </w:tr>
      <w:tr w:rsidR="007E39AB" w:rsidRPr="00B2525C" w14:paraId="54441CBF" w14:textId="77777777" w:rsidTr="00C918A0">
        <w:trPr>
          <w:trHeight w:val="449"/>
        </w:trPr>
        <w:tc>
          <w:tcPr>
            <w:tcW w:w="1765" w:type="dxa"/>
            <w:tcBorders>
              <w:top w:val="single" w:sz="4" w:space="0" w:color="auto"/>
            </w:tcBorders>
          </w:tcPr>
          <w:p w14:paraId="6CEB7A29" w14:textId="77777777" w:rsidR="007E39AB" w:rsidRPr="007E39AB" w:rsidRDefault="007E39AB" w:rsidP="007E39AB">
            <w:pPr>
              <w:spacing w:line="360" w:lineRule="auto"/>
              <w:jc w:val="center"/>
              <w:rPr>
                <w:rFonts w:cs="Arial"/>
              </w:rPr>
            </w:pPr>
            <w:r w:rsidRPr="007E39AB">
              <w:rPr>
                <w:rFonts w:cs="Arial"/>
              </w:rPr>
              <w:t>Female</w:t>
            </w:r>
          </w:p>
        </w:tc>
        <w:tc>
          <w:tcPr>
            <w:tcW w:w="1743" w:type="dxa"/>
            <w:tcBorders>
              <w:top w:val="single" w:sz="4" w:space="0" w:color="auto"/>
            </w:tcBorders>
          </w:tcPr>
          <w:p w14:paraId="20BA7347" w14:textId="77777777" w:rsidR="007E39AB" w:rsidRPr="007E39AB" w:rsidRDefault="007E39AB" w:rsidP="007E39AB">
            <w:pPr>
              <w:spacing w:line="360" w:lineRule="auto"/>
              <w:jc w:val="center"/>
              <w:rPr>
                <w:rFonts w:cs="Arial"/>
              </w:rPr>
            </w:pPr>
            <w:r w:rsidRPr="007E39AB">
              <w:rPr>
                <w:rFonts w:cs="Arial"/>
              </w:rPr>
              <w:t>Male</w:t>
            </w:r>
          </w:p>
        </w:tc>
        <w:tc>
          <w:tcPr>
            <w:tcW w:w="1767" w:type="dxa"/>
            <w:tcBorders>
              <w:top w:val="single" w:sz="4" w:space="0" w:color="auto"/>
            </w:tcBorders>
          </w:tcPr>
          <w:p w14:paraId="2BE5325A" w14:textId="77777777" w:rsidR="007E39AB" w:rsidRPr="007E39AB" w:rsidRDefault="007E39AB" w:rsidP="007E39AB">
            <w:pPr>
              <w:spacing w:line="360" w:lineRule="auto"/>
              <w:jc w:val="center"/>
              <w:rPr>
                <w:rFonts w:cs="Arial"/>
              </w:rPr>
            </w:pPr>
            <w:r w:rsidRPr="007E39AB">
              <w:rPr>
                <w:rFonts w:cs="Arial"/>
              </w:rPr>
              <w:t>Female</w:t>
            </w:r>
          </w:p>
        </w:tc>
        <w:tc>
          <w:tcPr>
            <w:tcW w:w="3770" w:type="dxa"/>
            <w:tcBorders>
              <w:top w:val="single" w:sz="4" w:space="0" w:color="auto"/>
            </w:tcBorders>
          </w:tcPr>
          <w:p w14:paraId="12C96C15" w14:textId="77777777" w:rsidR="007E39AB" w:rsidRPr="007E39AB" w:rsidRDefault="007E39AB" w:rsidP="007E39AB">
            <w:pPr>
              <w:spacing w:line="360" w:lineRule="auto"/>
              <w:jc w:val="center"/>
              <w:rPr>
                <w:rFonts w:cs="Arial"/>
              </w:rPr>
            </w:pPr>
            <w:r w:rsidRPr="007E39AB">
              <w:rPr>
                <w:rFonts w:cs="Arial"/>
              </w:rPr>
              <w:t>Male</w:t>
            </w:r>
          </w:p>
        </w:tc>
      </w:tr>
      <w:tr w:rsidR="007E39AB" w:rsidRPr="00B2525C" w14:paraId="6C01BB32" w14:textId="77777777" w:rsidTr="00C918A0">
        <w:trPr>
          <w:trHeight w:val="415"/>
        </w:trPr>
        <w:tc>
          <w:tcPr>
            <w:tcW w:w="1765" w:type="dxa"/>
          </w:tcPr>
          <w:p w14:paraId="540FB14A" w14:textId="77777777" w:rsidR="007E39AB" w:rsidRPr="007E39AB" w:rsidRDefault="007E39AB" w:rsidP="007E39AB">
            <w:pPr>
              <w:spacing w:line="360" w:lineRule="auto"/>
              <w:jc w:val="center"/>
              <w:rPr>
                <w:rFonts w:cs="Arial"/>
              </w:rPr>
            </w:pPr>
            <w:r w:rsidRPr="007E39AB">
              <w:rPr>
                <w:rFonts w:cs="Arial"/>
              </w:rPr>
              <w:t>662</w:t>
            </w:r>
          </w:p>
        </w:tc>
        <w:tc>
          <w:tcPr>
            <w:tcW w:w="1743" w:type="dxa"/>
          </w:tcPr>
          <w:p w14:paraId="79113EEB" w14:textId="77777777" w:rsidR="007E39AB" w:rsidRPr="007E39AB" w:rsidRDefault="007E39AB" w:rsidP="007E39AB">
            <w:pPr>
              <w:spacing w:line="360" w:lineRule="auto"/>
              <w:jc w:val="center"/>
              <w:rPr>
                <w:rFonts w:cs="Arial"/>
              </w:rPr>
            </w:pPr>
            <w:r w:rsidRPr="007E39AB">
              <w:rPr>
                <w:rFonts w:cs="Arial"/>
              </w:rPr>
              <w:t>347</w:t>
            </w:r>
          </w:p>
        </w:tc>
        <w:tc>
          <w:tcPr>
            <w:tcW w:w="1767" w:type="dxa"/>
          </w:tcPr>
          <w:p w14:paraId="25A7B1D0" w14:textId="77777777" w:rsidR="007E39AB" w:rsidRPr="007E39AB" w:rsidRDefault="007E39AB" w:rsidP="007E39AB">
            <w:pPr>
              <w:spacing w:line="360" w:lineRule="auto"/>
              <w:jc w:val="center"/>
              <w:rPr>
                <w:rFonts w:cs="Arial"/>
              </w:rPr>
            </w:pPr>
            <w:r w:rsidRPr="007E39AB">
              <w:rPr>
                <w:rFonts w:cs="Arial"/>
              </w:rPr>
              <w:t>1,634.4</w:t>
            </w:r>
          </w:p>
        </w:tc>
        <w:tc>
          <w:tcPr>
            <w:tcW w:w="3770" w:type="dxa"/>
          </w:tcPr>
          <w:p w14:paraId="2D5D3688" w14:textId="77777777" w:rsidR="007E39AB" w:rsidRPr="007E39AB" w:rsidRDefault="007E39AB" w:rsidP="007E39AB">
            <w:pPr>
              <w:spacing w:line="360" w:lineRule="auto"/>
              <w:jc w:val="center"/>
              <w:rPr>
                <w:rFonts w:cs="Arial"/>
              </w:rPr>
            </w:pPr>
            <w:r w:rsidRPr="007E39AB">
              <w:rPr>
                <w:rFonts w:cs="Arial"/>
              </w:rPr>
              <w:t>1,097.6</w:t>
            </w:r>
          </w:p>
        </w:tc>
      </w:tr>
    </w:tbl>
    <w:p w14:paraId="19776B6C" w14:textId="77777777" w:rsidR="00584AC0" w:rsidRPr="00237F4B" w:rsidRDefault="00584AC0" w:rsidP="00584AC0">
      <w:pPr>
        <w:rPr>
          <w:rFonts w:cs="Arial"/>
          <w:i/>
          <w:sz w:val="20"/>
          <w:szCs w:val="20"/>
        </w:rPr>
      </w:pPr>
      <w:r w:rsidRPr="00237F4B">
        <w:rPr>
          <w:rFonts w:cs="Arial"/>
          <w:i/>
          <w:sz w:val="20"/>
          <w:szCs w:val="20"/>
        </w:rPr>
        <w:t xml:space="preserve">Source: </w:t>
      </w:r>
      <w:r w:rsidR="008C65B3" w:rsidRPr="00237F4B">
        <w:rPr>
          <w:rFonts w:cs="Arial"/>
          <w:i/>
          <w:sz w:val="20"/>
          <w:szCs w:val="20"/>
        </w:rPr>
        <w:t>AIHW</w:t>
      </w:r>
      <w:r w:rsidRPr="00237F4B">
        <w:rPr>
          <w:rFonts w:cs="Arial"/>
          <w:i/>
          <w:sz w:val="20"/>
          <w:szCs w:val="20"/>
        </w:rPr>
        <w:t xml:space="preserve"> citied in </w:t>
      </w:r>
      <w:r w:rsidR="00E079B2" w:rsidRPr="00237F4B">
        <w:rPr>
          <w:rFonts w:cs="Arial"/>
          <w:i/>
          <w:sz w:val="20"/>
          <w:szCs w:val="20"/>
        </w:rPr>
        <w:t xml:space="preserve">Victorian </w:t>
      </w:r>
      <w:r w:rsidRPr="00237F4B">
        <w:rPr>
          <w:rFonts w:cs="Arial"/>
          <w:i/>
          <w:sz w:val="20"/>
          <w:szCs w:val="20"/>
        </w:rPr>
        <w:t>W</w:t>
      </w:r>
      <w:r w:rsidR="00E079B2" w:rsidRPr="00237F4B">
        <w:rPr>
          <w:rFonts w:cs="Arial"/>
          <w:i/>
          <w:sz w:val="20"/>
          <w:szCs w:val="20"/>
        </w:rPr>
        <w:t xml:space="preserve">omen’s </w:t>
      </w:r>
      <w:r w:rsidRPr="00237F4B">
        <w:rPr>
          <w:rFonts w:cs="Arial"/>
          <w:i/>
          <w:sz w:val="20"/>
          <w:szCs w:val="20"/>
        </w:rPr>
        <w:t>H</w:t>
      </w:r>
      <w:r w:rsidR="00E079B2" w:rsidRPr="00237F4B">
        <w:rPr>
          <w:rFonts w:cs="Arial"/>
          <w:i/>
          <w:sz w:val="20"/>
          <w:szCs w:val="20"/>
        </w:rPr>
        <w:t>ealth</w:t>
      </w:r>
      <w:r w:rsidRPr="00237F4B">
        <w:rPr>
          <w:rFonts w:cs="Arial"/>
          <w:i/>
          <w:sz w:val="20"/>
          <w:szCs w:val="20"/>
        </w:rPr>
        <w:t xml:space="preserve"> Atlas Fact Sheet</w:t>
      </w:r>
    </w:p>
    <w:p w14:paraId="1560C443" w14:textId="77777777" w:rsidR="00E079B2" w:rsidRPr="00B2525C" w:rsidRDefault="00E079B2" w:rsidP="00F04B41">
      <w:pPr>
        <w:rPr>
          <w:rFonts w:cs="Arial"/>
          <w:color w:val="7030A0"/>
        </w:rPr>
      </w:pPr>
    </w:p>
    <w:p w14:paraId="3C55F064" w14:textId="77777777" w:rsidR="00237F4B" w:rsidRDefault="00237F4B" w:rsidP="00750229">
      <w:pPr>
        <w:pStyle w:val="Heading3"/>
        <w:rPr>
          <w:rFonts w:cs="Arial"/>
        </w:rPr>
      </w:pPr>
      <w:bookmarkStart w:id="36" w:name="aged-care-indigenous-language"/>
      <w:r>
        <w:rPr>
          <w:rFonts w:cs="Arial"/>
        </w:rPr>
        <w:br w:type="page"/>
      </w:r>
    </w:p>
    <w:p w14:paraId="47F4130E" w14:textId="77777777" w:rsidR="001239B3" w:rsidRPr="00B2525C" w:rsidRDefault="001239B3" w:rsidP="007A7AC3">
      <w:pPr>
        <w:pStyle w:val="Heading2"/>
      </w:pPr>
      <w:r w:rsidRPr="00B2525C">
        <w:lastRenderedPageBreak/>
        <w:t xml:space="preserve">Focus on </w:t>
      </w:r>
      <w:r w:rsidR="002A53F6" w:rsidRPr="00B2525C">
        <w:t>r</w:t>
      </w:r>
      <w:r w:rsidR="00750229" w:rsidRPr="00B2525C">
        <w:t xml:space="preserve">esidential </w:t>
      </w:r>
      <w:r w:rsidR="002A53F6" w:rsidRPr="00B2525C">
        <w:t>a</w:t>
      </w:r>
      <w:r w:rsidRPr="00B2525C">
        <w:t xml:space="preserve">ged care </w:t>
      </w:r>
      <w:bookmarkEnd w:id="36"/>
    </w:p>
    <w:p w14:paraId="055F48D5" w14:textId="77777777" w:rsidR="00B23B6E" w:rsidRPr="00B2525C" w:rsidRDefault="008C65B3" w:rsidP="00B23B6E">
      <w:pPr>
        <w:rPr>
          <w:rFonts w:cs="Arial"/>
        </w:rPr>
      </w:pPr>
      <w:r w:rsidRPr="00B2525C">
        <w:rPr>
          <w:rFonts w:cs="Arial"/>
        </w:rPr>
        <w:t xml:space="preserve">Data from the Australian Institute of Health and Wellbeing shows that in June 2019, there were 1,168 residential aged care places in the City of Moonee Valley. There are 16 residential aged care facilities, with a mix of </w:t>
      </w:r>
      <w:r w:rsidR="00DA4C07" w:rsidRPr="00B2525C">
        <w:rPr>
          <w:rFonts w:cs="Arial"/>
        </w:rPr>
        <w:t>charitable</w:t>
      </w:r>
      <w:r w:rsidRPr="00B2525C">
        <w:rPr>
          <w:rFonts w:cs="Arial"/>
        </w:rPr>
        <w:t>, community base</w:t>
      </w:r>
      <w:r w:rsidR="00E079B2" w:rsidRPr="00B2525C">
        <w:rPr>
          <w:rFonts w:cs="Arial"/>
        </w:rPr>
        <w:t>d</w:t>
      </w:r>
      <w:r w:rsidRPr="00B2525C">
        <w:rPr>
          <w:rFonts w:cs="Arial"/>
        </w:rPr>
        <w:t>, private and government run</w:t>
      </w:r>
      <w:r w:rsidR="00E079B2" w:rsidRPr="00B2525C">
        <w:rPr>
          <w:rFonts w:cs="Arial"/>
        </w:rPr>
        <w:t xml:space="preserve"> facilities</w:t>
      </w:r>
      <w:r w:rsidRPr="00B2525C">
        <w:rPr>
          <w:rFonts w:cs="Arial"/>
        </w:rPr>
        <w:t xml:space="preserve">: </w:t>
      </w:r>
    </w:p>
    <w:p w14:paraId="3379D564" w14:textId="09990E75" w:rsidR="00B23B6E" w:rsidRPr="007E39AB" w:rsidRDefault="00580686" w:rsidP="007E39AB">
      <w:pPr>
        <w:pStyle w:val="ListParagraph"/>
        <w:numPr>
          <w:ilvl w:val="0"/>
          <w:numId w:val="14"/>
        </w:numPr>
        <w:spacing w:before="0" w:line="276" w:lineRule="auto"/>
        <w:rPr>
          <w:rFonts w:ascii="Circular Std Book" w:hAnsi="Circular Std Book" w:cs="Circular Std Book"/>
        </w:rPr>
      </w:pPr>
      <w:r>
        <w:rPr>
          <w:rFonts w:ascii="Circular Std Book" w:hAnsi="Circular Std Book" w:cs="Circular Std Book"/>
        </w:rPr>
        <w:t>One</w:t>
      </w:r>
      <w:r w:rsidR="00B23B6E" w:rsidRPr="007E39AB">
        <w:rPr>
          <w:rFonts w:ascii="Circular Std Book" w:hAnsi="Circular Std Book" w:cs="Circular Std Book"/>
        </w:rPr>
        <w:t xml:space="preserve"> in Ascot Vale (31 beds)</w:t>
      </w:r>
    </w:p>
    <w:p w14:paraId="63FC3824" w14:textId="55EAF5A6" w:rsidR="00B23B6E" w:rsidRPr="007E39AB" w:rsidRDefault="00580686" w:rsidP="007E39AB">
      <w:pPr>
        <w:pStyle w:val="ListParagraph"/>
        <w:numPr>
          <w:ilvl w:val="0"/>
          <w:numId w:val="14"/>
        </w:numPr>
        <w:spacing w:before="0" w:line="276" w:lineRule="auto"/>
        <w:rPr>
          <w:rFonts w:ascii="Circular Std Book" w:hAnsi="Circular Std Book" w:cs="Circular Std Book"/>
        </w:rPr>
      </w:pPr>
      <w:r>
        <w:rPr>
          <w:rFonts w:ascii="Circular Std Book" w:hAnsi="Circular Std Book" w:cs="Circular Std Book"/>
        </w:rPr>
        <w:t>Two</w:t>
      </w:r>
      <w:r w:rsidR="00B23B6E" w:rsidRPr="007E39AB">
        <w:rPr>
          <w:rFonts w:ascii="Circular Std Book" w:hAnsi="Circular Std Book" w:cs="Circular Std Book"/>
        </w:rPr>
        <w:t xml:space="preserve"> in Flemington (94 beds)</w:t>
      </w:r>
    </w:p>
    <w:p w14:paraId="5E029C9C" w14:textId="10E67E71" w:rsidR="00B23B6E" w:rsidRPr="007E39AB" w:rsidRDefault="00580686" w:rsidP="007E39AB">
      <w:pPr>
        <w:pStyle w:val="ListParagraph"/>
        <w:numPr>
          <w:ilvl w:val="0"/>
          <w:numId w:val="14"/>
        </w:numPr>
        <w:spacing w:before="0" w:line="276" w:lineRule="auto"/>
        <w:rPr>
          <w:rFonts w:ascii="Circular Std Book" w:hAnsi="Circular Std Book" w:cs="Circular Std Book"/>
        </w:rPr>
      </w:pPr>
      <w:r>
        <w:rPr>
          <w:rFonts w:ascii="Circular Std Book" w:hAnsi="Circular Std Book" w:cs="Circular Std Book"/>
        </w:rPr>
        <w:t>Two</w:t>
      </w:r>
      <w:r w:rsidR="00B23B6E" w:rsidRPr="007E39AB">
        <w:rPr>
          <w:rFonts w:ascii="Circular Std Book" w:hAnsi="Circular Std Book" w:cs="Circular Std Book"/>
        </w:rPr>
        <w:t xml:space="preserve"> in Moonee Ponds (183 beds)</w:t>
      </w:r>
    </w:p>
    <w:p w14:paraId="253EFD37" w14:textId="4AD25F4E" w:rsidR="00B23B6E" w:rsidRPr="007E39AB" w:rsidRDefault="00580686" w:rsidP="007E39AB">
      <w:pPr>
        <w:pStyle w:val="ListParagraph"/>
        <w:numPr>
          <w:ilvl w:val="0"/>
          <w:numId w:val="14"/>
        </w:numPr>
        <w:spacing w:before="0" w:line="276" w:lineRule="auto"/>
        <w:rPr>
          <w:rFonts w:ascii="Circular Std Book" w:hAnsi="Circular Std Book" w:cs="Circular Std Book"/>
        </w:rPr>
      </w:pPr>
      <w:r>
        <w:rPr>
          <w:rFonts w:ascii="Circular Std Book" w:hAnsi="Circular Std Book" w:cs="Circular Std Book"/>
        </w:rPr>
        <w:t>Three</w:t>
      </w:r>
      <w:r w:rsidR="00B23B6E" w:rsidRPr="007E39AB">
        <w:rPr>
          <w:rFonts w:ascii="Circular Std Book" w:hAnsi="Circular Std Book" w:cs="Circular Std Book"/>
        </w:rPr>
        <w:t xml:space="preserve"> in Essendon (216 beds)</w:t>
      </w:r>
    </w:p>
    <w:p w14:paraId="7C84FA13" w14:textId="69D95CEF" w:rsidR="00B23B6E" w:rsidRPr="007E39AB" w:rsidRDefault="00580686" w:rsidP="007E39AB">
      <w:pPr>
        <w:pStyle w:val="ListParagraph"/>
        <w:numPr>
          <w:ilvl w:val="0"/>
          <w:numId w:val="14"/>
        </w:numPr>
        <w:spacing w:before="0" w:line="276" w:lineRule="auto"/>
        <w:rPr>
          <w:rFonts w:ascii="Circular Std Book" w:hAnsi="Circular Std Book" w:cs="Circular Std Book"/>
        </w:rPr>
      </w:pPr>
      <w:r>
        <w:rPr>
          <w:rFonts w:ascii="Circular Std Book" w:hAnsi="Circular Std Book" w:cs="Circular Std Book"/>
        </w:rPr>
        <w:t>Four</w:t>
      </w:r>
      <w:r w:rsidR="00B23B6E" w:rsidRPr="007E39AB">
        <w:rPr>
          <w:rFonts w:ascii="Circular Std Book" w:hAnsi="Circular Std Book" w:cs="Circular Std Book"/>
        </w:rPr>
        <w:t xml:space="preserve"> in Avondale Heights (404 beds)</w:t>
      </w:r>
    </w:p>
    <w:p w14:paraId="147A959A" w14:textId="6DDFD0C5" w:rsidR="00B23B6E" w:rsidRPr="007E39AB" w:rsidRDefault="00580686" w:rsidP="007E39AB">
      <w:pPr>
        <w:pStyle w:val="ListParagraph"/>
        <w:numPr>
          <w:ilvl w:val="0"/>
          <w:numId w:val="14"/>
        </w:numPr>
        <w:spacing w:before="0" w:line="276" w:lineRule="auto"/>
        <w:rPr>
          <w:rFonts w:ascii="Circular Std Book" w:hAnsi="Circular Std Book" w:cs="Circular Std Book"/>
        </w:rPr>
      </w:pPr>
      <w:r>
        <w:rPr>
          <w:rFonts w:ascii="Circular Std Book" w:hAnsi="Circular Std Book" w:cs="Circular Std Book"/>
        </w:rPr>
        <w:t>Four</w:t>
      </w:r>
      <w:r w:rsidR="00B23B6E" w:rsidRPr="007E39AB">
        <w:rPr>
          <w:rFonts w:ascii="Circular Std Book" w:hAnsi="Circular Std Book" w:cs="Circular Std Book"/>
        </w:rPr>
        <w:t xml:space="preserve"> in Keilor East (240 beds)</w:t>
      </w:r>
    </w:p>
    <w:p w14:paraId="3DCA0199" w14:textId="77777777" w:rsidR="008C65B3" w:rsidRPr="00B2525C" w:rsidRDefault="008C65B3" w:rsidP="00DA4C07">
      <w:pPr>
        <w:pStyle w:val="ListParagraph"/>
        <w:spacing w:before="0"/>
        <w:rPr>
          <w:rFonts w:ascii="Arial" w:hAnsi="Arial" w:cs="Arial"/>
        </w:rPr>
      </w:pPr>
    </w:p>
    <w:p w14:paraId="09AC1D75" w14:textId="597A35F2" w:rsidR="00BD3DEF" w:rsidRDefault="00B23B6E" w:rsidP="001239B3">
      <w:pPr>
        <w:rPr>
          <w:rFonts w:cs="Arial"/>
        </w:rPr>
      </w:pPr>
      <w:r w:rsidRPr="00B2525C">
        <w:rPr>
          <w:rFonts w:cs="Arial"/>
        </w:rPr>
        <w:t>Moonee Valley is located within the Western Metro Aged Care Region</w:t>
      </w:r>
      <w:r w:rsidR="0066393F" w:rsidRPr="00B2525C">
        <w:rPr>
          <w:rFonts w:cs="Arial"/>
        </w:rPr>
        <w:t xml:space="preserve"> which covers 7 local government areas</w:t>
      </w:r>
      <w:r w:rsidRPr="00B2525C">
        <w:rPr>
          <w:rFonts w:cs="Arial"/>
        </w:rPr>
        <w:t>. There are 57,569 beds spread across 70 facilities in the whole</w:t>
      </w:r>
      <w:r w:rsidR="0066393F" w:rsidRPr="00B2525C">
        <w:rPr>
          <w:rFonts w:cs="Arial"/>
        </w:rPr>
        <w:t xml:space="preserve"> Western Metro Aged Care</w:t>
      </w:r>
      <w:r w:rsidRPr="00B2525C">
        <w:rPr>
          <w:rFonts w:cs="Arial"/>
        </w:rPr>
        <w:t xml:space="preserve"> </w:t>
      </w:r>
      <w:r w:rsidR="00DA4C07" w:rsidRPr="00B2525C">
        <w:rPr>
          <w:rFonts w:cs="Arial"/>
        </w:rPr>
        <w:t>R</w:t>
      </w:r>
      <w:r w:rsidRPr="00B2525C">
        <w:rPr>
          <w:rFonts w:cs="Arial"/>
        </w:rPr>
        <w:t xml:space="preserve">egion. </w:t>
      </w:r>
      <w:r w:rsidR="0066393F" w:rsidRPr="00B2525C">
        <w:rPr>
          <w:rFonts w:cs="Arial"/>
        </w:rPr>
        <w:t xml:space="preserve">Moonee Valley has </w:t>
      </w:r>
      <w:r w:rsidRPr="00B2525C">
        <w:rPr>
          <w:rFonts w:cs="Arial"/>
        </w:rPr>
        <w:t>24</w:t>
      </w:r>
      <w:r w:rsidR="00580686">
        <w:rPr>
          <w:rFonts w:cs="Arial"/>
        </w:rPr>
        <w:t xml:space="preserve"> per cent</w:t>
      </w:r>
      <w:r w:rsidRPr="00B2525C">
        <w:rPr>
          <w:rFonts w:cs="Arial"/>
        </w:rPr>
        <w:t xml:space="preserve"> of the </w:t>
      </w:r>
      <w:r w:rsidR="0066393F" w:rsidRPr="00B2525C">
        <w:rPr>
          <w:rFonts w:cs="Arial"/>
        </w:rPr>
        <w:t xml:space="preserve">residential aged care </w:t>
      </w:r>
      <w:r w:rsidRPr="00B2525C">
        <w:rPr>
          <w:rFonts w:cs="Arial"/>
        </w:rPr>
        <w:t>facilities</w:t>
      </w:r>
      <w:r w:rsidR="0066393F" w:rsidRPr="00B2525C">
        <w:rPr>
          <w:rFonts w:cs="Arial"/>
        </w:rPr>
        <w:t xml:space="preserve"> in Western Metro Aged Care region</w:t>
      </w:r>
      <w:r w:rsidRPr="00B2525C">
        <w:rPr>
          <w:rFonts w:cs="Arial"/>
        </w:rPr>
        <w:t>.</w:t>
      </w:r>
    </w:p>
    <w:p w14:paraId="2AF2C0EF" w14:textId="77777777" w:rsidR="00BD3DEF" w:rsidRDefault="00BD3DEF" w:rsidP="001239B3">
      <w:pPr>
        <w:rPr>
          <w:rFonts w:cs="Arial"/>
        </w:rPr>
      </w:pPr>
    </w:p>
    <w:p w14:paraId="3DE069D7" w14:textId="2A8AD008" w:rsidR="001239B3" w:rsidRPr="00B2525C" w:rsidRDefault="000052A8" w:rsidP="001239B3">
      <w:pPr>
        <w:rPr>
          <w:rFonts w:cs="Arial"/>
        </w:rPr>
      </w:pPr>
      <w:r w:rsidRPr="00B9259C">
        <w:rPr>
          <w:rFonts w:cs="Arial"/>
          <w:b/>
        </w:rPr>
        <w:t>Figure</w:t>
      </w:r>
      <w:r w:rsidR="009276F4" w:rsidRPr="00B9259C">
        <w:rPr>
          <w:rFonts w:cs="Arial"/>
          <w:b/>
        </w:rPr>
        <w:t xml:space="preserve"> </w:t>
      </w:r>
      <w:r w:rsidR="00B93B84" w:rsidRPr="00B9259C">
        <w:rPr>
          <w:rFonts w:cs="Arial"/>
          <w:b/>
        </w:rPr>
        <w:t>38</w:t>
      </w:r>
      <w:r w:rsidRPr="00B9259C">
        <w:rPr>
          <w:rFonts w:cs="Arial"/>
          <w:b/>
        </w:rPr>
        <w:t>:</w:t>
      </w:r>
      <w:r w:rsidR="00BD3DEF">
        <w:rPr>
          <w:rFonts w:cs="Arial"/>
        </w:rPr>
        <w:t xml:space="preserve"> </w:t>
      </w:r>
      <w:r w:rsidR="00B23B6E" w:rsidRPr="00B2525C">
        <w:rPr>
          <w:rFonts w:cs="Arial"/>
        </w:rPr>
        <w:t xml:space="preserve"> </w:t>
      </w:r>
      <w:r w:rsidR="00B9259C">
        <w:rPr>
          <w:rFonts w:cs="Arial"/>
        </w:rPr>
        <w:t>Aged care locations</w:t>
      </w:r>
    </w:p>
    <w:p w14:paraId="4397418E" w14:textId="55F9E2A0" w:rsidR="001239B3" w:rsidRDefault="001239B3" w:rsidP="001239B3">
      <w:pPr>
        <w:rPr>
          <w:rFonts w:cs="Arial"/>
        </w:rPr>
      </w:pPr>
      <w:r w:rsidRPr="00B2525C">
        <w:rPr>
          <w:rFonts w:cs="Arial"/>
          <w:noProof/>
        </w:rPr>
        <w:drawing>
          <wp:inline distT="0" distB="0" distL="0" distR="0" wp14:anchorId="760483D3" wp14:editId="4B76CAE3">
            <wp:extent cx="6032500" cy="4546600"/>
            <wp:effectExtent l="0" t="0" r="6350" b="6350"/>
            <wp:docPr id="50" name="Picture"/>
            <wp:cNvGraphicFramePr/>
            <a:graphic xmlns:a="http://schemas.openxmlformats.org/drawingml/2006/main">
              <a:graphicData uri="http://schemas.openxmlformats.org/drawingml/2006/picture">
                <pic:pic xmlns:pic="http://schemas.openxmlformats.org/drawingml/2006/picture">
                  <pic:nvPicPr>
                    <pic:cNvPr id="0" name="Picture" descr="maps/Aged%20care%20layout.png"/>
                    <pic:cNvPicPr>
                      <a:picLocks noChangeAspect="1" noChangeArrowheads="1"/>
                    </pic:cNvPicPr>
                  </pic:nvPicPr>
                  <pic:blipFill>
                    <a:blip r:embed="rId65"/>
                    <a:stretch>
                      <a:fillRect/>
                    </a:stretch>
                  </pic:blipFill>
                  <pic:spPr bwMode="auto">
                    <a:xfrm>
                      <a:off x="0" y="0"/>
                      <a:ext cx="6083389" cy="4584954"/>
                    </a:xfrm>
                    <a:prstGeom prst="rect">
                      <a:avLst/>
                    </a:prstGeom>
                    <a:noFill/>
                    <a:ln w="9525">
                      <a:noFill/>
                      <a:headEnd/>
                      <a:tailEnd/>
                    </a:ln>
                  </pic:spPr>
                </pic:pic>
              </a:graphicData>
            </a:graphic>
          </wp:inline>
        </w:drawing>
      </w:r>
      <w:bookmarkStart w:id="37" w:name="covid-19-cases"/>
    </w:p>
    <w:p w14:paraId="6E77EC77" w14:textId="09B770FE" w:rsidR="00B9259C" w:rsidRPr="00B9259C" w:rsidRDefault="00B9259C" w:rsidP="001239B3">
      <w:pPr>
        <w:rPr>
          <w:rFonts w:cs="Arial"/>
          <w:i/>
        </w:rPr>
      </w:pPr>
      <w:r w:rsidRPr="00B9259C">
        <w:rPr>
          <w:rFonts w:cs="Arial"/>
          <w:i/>
        </w:rPr>
        <w:t>Source: AIHW, Aged Care Service List, 2020</w:t>
      </w:r>
    </w:p>
    <w:bookmarkEnd w:id="30"/>
    <w:bookmarkEnd w:id="37"/>
    <w:p w14:paraId="019AAC6C" w14:textId="43C56D5D" w:rsidR="00F6027F" w:rsidRPr="007A7AC3" w:rsidRDefault="00F6027F" w:rsidP="007A7AC3">
      <w:pPr>
        <w:pStyle w:val="Heading2"/>
        <w:rPr>
          <w:color w:val="7030A0"/>
        </w:rPr>
      </w:pPr>
      <w:r w:rsidRPr="007A7AC3">
        <w:rPr>
          <w:color w:val="7030A0"/>
        </w:rPr>
        <w:lastRenderedPageBreak/>
        <w:t>Impact of COVID-19 on socioeconomic position among Moonee Valley target populations</w:t>
      </w:r>
    </w:p>
    <w:p w14:paraId="25D55126" w14:textId="77777777" w:rsidR="00F6027F" w:rsidRPr="00F6027F" w:rsidRDefault="00F6027F" w:rsidP="00F6027F"/>
    <w:p w14:paraId="0396F534" w14:textId="060C99AB" w:rsidR="00F6027F" w:rsidRPr="00F6027F" w:rsidRDefault="00F6027F" w:rsidP="00F6027F">
      <w:pPr>
        <w:rPr>
          <w:color w:val="7030A0"/>
        </w:rPr>
      </w:pPr>
      <w:r w:rsidRPr="00F6027F">
        <w:rPr>
          <w:color w:val="7030A0"/>
        </w:rPr>
        <w:t xml:space="preserve">Children: </w:t>
      </w:r>
      <w:r w:rsidRPr="00724BFE">
        <w:t xml:space="preserve">Formal education has been challenged during the pandemic as a result of working and studying from home </w:t>
      </w:r>
      <w:r w:rsidR="00164281">
        <w:t xml:space="preserve">as well as difficulties in </w:t>
      </w:r>
      <w:r w:rsidRPr="00724BFE">
        <w:t>access to internet connection</w:t>
      </w:r>
      <w:r w:rsidR="00A97269">
        <w:t xml:space="preserve"> and electronic devices (i.e. laptops and </w:t>
      </w:r>
      <w:proofErr w:type="spellStart"/>
      <w:r w:rsidR="00A97269">
        <w:t>ipads</w:t>
      </w:r>
      <w:proofErr w:type="spellEnd"/>
      <w:r w:rsidR="00A97269">
        <w:t>)</w:t>
      </w:r>
      <w:r w:rsidRPr="00F6027F">
        <w:rPr>
          <w:color w:val="7030A0"/>
        </w:rPr>
        <w:t xml:space="preserve">. </w:t>
      </w:r>
    </w:p>
    <w:p w14:paraId="51497510" w14:textId="77777777" w:rsidR="00F6027F" w:rsidRPr="00724BFE" w:rsidRDefault="00F6027F" w:rsidP="00F6027F">
      <w:pPr>
        <w:rPr>
          <w:rFonts w:cs="Arial"/>
        </w:rPr>
      </w:pPr>
      <w:r w:rsidRPr="00F6027F">
        <w:rPr>
          <w:rFonts w:cs="Arial"/>
          <w:color w:val="7030A0"/>
        </w:rPr>
        <w:t xml:space="preserve">Women: </w:t>
      </w:r>
      <w:r w:rsidRPr="00724BFE">
        <w:rPr>
          <w:rFonts w:cs="Arial"/>
        </w:rPr>
        <w:t xml:space="preserve">have experienced a greater rate of unemployment during the pandemic. The majority of casual workers unable to access job keeper are women; 55per cent of job losses due to the pandemic were among women; and women's unemployment has increased five-fold since the crisis (Gender Equality Victoria, 2020). Women have also had a larger responsibility of caring responsibilities and amounts of unpaid work (VicHealth, 2020). </w:t>
      </w:r>
    </w:p>
    <w:p w14:paraId="0A1CCC9B" w14:textId="0C45EE2D" w:rsidR="00F6027F" w:rsidRPr="00724BFE" w:rsidRDefault="00F6027F" w:rsidP="00F6027F">
      <w:pPr>
        <w:rPr>
          <w:rFonts w:cs="Arial"/>
        </w:rPr>
      </w:pPr>
      <w:r w:rsidRPr="00F6027F">
        <w:rPr>
          <w:rFonts w:cs="Arial"/>
          <w:color w:val="7030A0"/>
        </w:rPr>
        <w:t xml:space="preserve">Asylum seeker, refugee and people from CALD backgrounds and international students: </w:t>
      </w:r>
      <w:r w:rsidRPr="00724BFE">
        <w:rPr>
          <w:rFonts w:cs="Arial"/>
        </w:rPr>
        <w:t xml:space="preserve">are disproportionately impacted, being overrepresented in highly </w:t>
      </w:r>
      <w:proofErr w:type="spellStart"/>
      <w:r w:rsidRPr="00724BFE">
        <w:rPr>
          <w:rFonts w:cs="Arial"/>
        </w:rPr>
        <w:t>casualised</w:t>
      </w:r>
      <w:proofErr w:type="spellEnd"/>
      <w:r w:rsidRPr="00724BFE">
        <w:rPr>
          <w:rFonts w:cs="Arial"/>
        </w:rPr>
        <w:t xml:space="preserve"> and low-income industries that have been heavily affected by COVID-19, such as hospitality and retail (</w:t>
      </w:r>
      <w:proofErr w:type="spellStart"/>
      <w:r w:rsidRPr="00724BFE">
        <w:rPr>
          <w:rFonts w:cs="Arial"/>
        </w:rPr>
        <w:t>Koy</w:t>
      </w:r>
      <w:proofErr w:type="spellEnd"/>
      <w:r w:rsidRPr="00724BFE">
        <w:rPr>
          <w:rFonts w:cs="Arial"/>
        </w:rPr>
        <w:t>, 2020). Those on temporary visas have been largely excluded from federal support packages, impacting on financial security (VicHealth, 2020). </w:t>
      </w:r>
    </w:p>
    <w:p w14:paraId="0DE213C1" w14:textId="77777777" w:rsidR="00237F4B" w:rsidRPr="00724BFE" w:rsidRDefault="00F6027F" w:rsidP="00F6027F">
      <w:pPr>
        <w:rPr>
          <w:rFonts w:cs="Arial"/>
        </w:rPr>
      </w:pPr>
      <w:r w:rsidRPr="00F6027F">
        <w:rPr>
          <w:rFonts w:cs="Arial"/>
          <w:color w:val="7030A0"/>
        </w:rPr>
        <w:t xml:space="preserve">Young people: </w:t>
      </w:r>
      <w:r w:rsidRPr="00724BFE">
        <w:rPr>
          <w:rFonts w:cs="Arial"/>
        </w:rPr>
        <w:t>are more likely to work in frontline services such as cafes, restaurants and bars than older people. Closure of businesses and reduced hours may have caused financial insecurity and mental distress.</w:t>
      </w:r>
    </w:p>
    <w:p w14:paraId="351C847E" w14:textId="027BE454" w:rsidR="00237F4B" w:rsidRPr="00724BFE" w:rsidRDefault="00237F4B" w:rsidP="00237F4B">
      <w:pPr>
        <w:rPr>
          <w:rFonts w:cs="Arial"/>
        </w:rPr>
      </w:pPr>
      <w:r w:rsidRPr="00B2525C">
        <w:rPr>
          <w:rFonts w:cs="Arial"/>
          <w:color w:val="7030A0"/>
        </w:rPr>
        <w:t xml:space="preserve">Older people living in residential aged care and their carers: </w:t>
      </w:r>
      <w:r w:rsidRPr="00724BFE">
        <w:rPr>
          <w:rFonts w:cs="Arial"/>
        </w:rPr>
        <w:t xml:space="preserve">Most of the deaths due to COVID-19 in Victoria have occurred in aged care facilities. Data from the Department of Health and Human Services shows that within the municipality, there were a total of 245 deaths spread across </w:t>
      </w:r>
      <w:r w:rsidR="00580686">
        <w:rPr>
          <w:rFonts w:cs="Arial"/>
        </w:rPr>
        <w:t>four</w:t>
      </w:r>
      <w:r w:rsidRPr="00724BFE">
        <w:rPr>
          <w:rFonts w:cs="Arial"/>
        </w:rPr>
        <w:t xml:space="preserve"> aged care facilities. Lockdowns in aged care disrupted regular visitations adding to the stress and isolation of these residents and their family and friends.</w:t>
      </w:r>
    </w:p>
    <w:p w14:paraId="2213A427" w14:textId="602A7FC8" w:rsidR="00237F4B" w:rsidRPr="00B2525C" w:rsidRDefault="00237F4B" w:rsidP="00237F4B">
      <w:pPr>
        <w:rPr>
          <w:rFonts w:cs="Arial"/>
          <w:color w:val="7030A0"/>
        </w:rPr>
      </w:pPr>
      <w:r w:rsidRPr="00B2525C">
        <w:rPr>
          <w:rFonts w:cs="Arial"/>
          <w:color w:val="7030A0"/>
        </w:rPr>
        <w:t xml:space="preserve">People experiencing homelessness and at risk of homelessness: </w:t>
      </w:r>
      <w:r w:rsidRPr="00724BFE">
        <w:rPr>
          <w:rFonts w:cs="Arial"/>
        </w:rPr>
        <w:t>are at higher risk of contracting COVID-19 during the pandemic due to limited access to safe and affordable housing and personal protective equipment. Insecure, overcrowded housing, such as rooming houses</w:t>
      </w:r>
      <w:r w:rsidR="00164281">
        <w:rPr>
          <w:rFonts w:cs="Arial"/>
        </w:rPr>
        <w:t>,</w:t>
      </w:r>
      <w:r w:rsidRPr="00724BFE">
        <w:rPr>
          <w:rFonts w:cs="Arial"/>
        </w:rPr>
        <w:t xml:space="preserve"> make self-isolation </w:t>
      </w:r>
      <w:r w:rsidR="00A97269">
        <w:rPr>
          <w:rFonts w:cs="Arial"/>
        </w:rPr>
        <w:t xml:space="preserve">and the ability to maintain personal hygiene </w:t>
      </w:r>
      <w:r w:rsidRPr="00724BFE">
        <w:rPr>
          <w:rFonts w:cs="Arial"/>
        </w:rPr>
        <w:t>harder, increasing the risk of getting COVID</w:t>
      </w:r>
      <w:r w:rsidRPr="00B2525C">
        <w:rPr>
          <w:rFonts w:cs="Arial"/>
          <w:color w:val="7030A0"/>
        </w:rPr>
        <w:t>.</w:t>
      </w:r>
    </w:p>
    <w:p w14:paraId="668D1F7E" w14:textId="77777777" w:rsidR="00237F4B" w:rsidRPr="00F6027F" w:rsidRDefault="00237F4B" w:rsidP="00F6027F">
      <w:pPr>
        <w:rPr>
          <w:rFonts w:cs="Arial"/>
          <w:color w:val="7030A0"/>
        </w:rPr>
      </w:pPr>
    </w:p>
    <w:p w14:paraId="4EFE0EDF" w14:textId="77777777" w:rsidR="00F6027F" w:rsidRPr="00F6027F" w:rsidRDefault="00F6027F" w:rsidP="00F6027F">
      <w:pPr>
        <w:rPr>
          <w:rFonts w:cs="Arial"/>
          <w:color w:val="7030A0"/>
        </w:rPr>
      </w:pPr>
    </w:p>
    <w:p w14:paraId="038D62A6" w14:textId="77777777" w:rsidR="00237F4B" w:rsidRDefault="00237F4B" w:rsidP="00F6027F">
      <w:pPr>
        <w:rPr>
          <w:rStyle w:val="Heading2Char"/>
          <w:rFonts w:cs="Arial"/>
          <w:b w:val="0"/>
        </w:rPr>
      </w:pPr>
      <w:r>
        <w:rPr>
          <w:rStyle w:val="Heading2Char"/>
          <w:rFonts w:cs="Arial"/>
          <w:b w:val="0"/>
        </w:rPr>
        <w:br w:type="page"/>
      </w:r>
    </w:p>
    <w:p w14:paraId="620E216A" w14:textId="1F172FBA" w:rsidR="00FC78B9" w:rsidRPr="00B2525C" w:rsidRDefault="00FC78B9" w:rsidP="0000364C">
      <w:pPr>
        <w:pStyle w:val="Heading1"/>
        <w:numPr>
          <w:ilvl w:val="0"/>
          <w:numId w:val="20"/>
        </w:numPr>
        <w:rPr>
          <w:rFonts w:cs="Arial"/>
        </w:rPr>
      </w:pPr>
      <w:bookmarkStart w:id="38" w:name="_Toc80014168"/>
      <w:r w:rsidRPr="00B2525C">
        <w:rPr>
          <w:rFonts w:cs="Arial"/>
        </w:rPr>
        <w:lastRenderedPageBreak/>
        <w:t xml:space="preserve">Social and </w:t>
      </w:r>
      <w:r w:rsidR="002A53F6" w:rsidRPr="00B2525C">
        <w:rPr>
          <w:rFonts w:cs="Arial"/>
        </w:rPr>
        <w:t>c</w:t>
      </w:r>
      <w:r w:rsidRPr="00B2525C">
        <w:rPr>
          <w:rFonts w:cs="Arial"/>
        </w:rPr>
        <w:t xml:space="preserve">ommunity </w:t>
      </w:r>
      <w:r w:rsidR="002A53F6" w:rsidRPr="00B2525C">
        <w:rPr>
          <w:rFonts w:cs="Arial"/>
        </w:rPr>
        <w:t>n</w:t>
      </w:r>
      <w:r w:rsidRPr="00B2525C">
        <w:rPr>
          <w:rFonts w:cs="Arial"/>
        </w:rPr>
        <w:t>etworks</w:t>
      </w:r>
      <w:bookmarkEnd w:id="38"/>
    </w:p>
    <w:p w14:paraId="5324D8AA" w14:textId="77777777" w:rsidR="00237F4B" w:rsidRDefault="00237F4B" w:rsidP="00570769">
      <w:pPr>
        <w:rPr>
          <w:rFonts w:cs="Arial"/>
          <w:b/>
        </w:rPr>
      </w:pPr>
    </w:p>
    <w:p w14:paraId="4798E6F2" w14:textId="77777777" w:rsidR="00ED4559" w:rsidRPr="00B2525C" w:rsidRDefault="00FC78B9" w:rsidP="00570769">
      <w:pPr>
        <w:rPr>
          <w:rFonts w:cs="Arial"/>
          <w:b/>
        </w:rPr>
      </w:pPr>
      <w:r w:rsidRPr="00B2525C">
        <w:rPr>
          <w:rFonts w:cs="Arial"/>
          <w:b/>
        </w:rPr>
        <w:t xml:space="preserve">Key points: </w:t>
      </w:r>
    </w:p>
    <w:p w14:paraId="4FE0AF0D" w14:textId="513B1074" w:rsidR="00251545" w:rsidRPr="00BD3DEF" w:rsidRDefault="00ED4559" w:rsidP="00237F4B">
      <w:pPr>
        <w:pStyle w:val="ListParagraph"/>
        <w:numPr>
          <w:ilvl w:val="0"/>
          <w:numId w:val="24"/>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Majority of residents feel part of their local community (6</w:t>
      </w:r>
      <w:r w:rsidR="00C84F59" w:rsidRPr="00BD3DEF">
        <w:rPr>
          <w:rFonts w:ascii="Circular Std Book" w:hAnsi="Circular Std Book" w:cs="Circular Std Book"/>
        </w:rPr>
        <w:t xml:space="preserve">7 </w:t>
      </w:r>
      <w:r w:rsidR="0017290D" w:rsidRPr="00BD3DEF">
        <w:rPr>
          <w:rFonts w:ascii="Circular Std Book" w:hAnsi="Circular Std Book" w:cs="Circular Std Book"/>
        </w:rPr>
        <w:t>per cent</w:t>
      </w:r>
      <w:r w:rsidRPr="00BD3DEF">
        <w:rPr>
          <w:rFonts w:ascii="Circular Std Book" w:hAnsi="Circular Std Book" w:cs="Circular Std Book"/>
        </w:rPr>
        <w:t>)</w:t>
      </w:r>
      <w:r w:rsidR="00164281">
        <w:rPr>
          <w:rFonts w:ascii="Circular Std Book" w:hAnsi="Circular Std Book" w:cs="Circular Std Book"/>
        </w:rPr>
        <w:t xml:space="preserve">. </w:t>
      </w:r>
      <w:r w:rsidR="00251545" w:rsidRPr="00BD3DEF">
        <w:rPr>
          <w:rFonts w:ascii="Circular Std Book" w:hAnsi="Circular Std Book" w:cs="Circular Std Book"/>
        </w:rPr>
        <w:t xml:space="preserve">The score was highest in Strathmore </w:t>
      </w:r>
      <w:r w:rsidR="00B03D8D">
        <w:rPr>
          <w:rFonts w:ascii="Circular Std Book" w:hAnsi="Circular Std Book" w:cs="Circular Std Book"/>
        </w:rPr>
        <w:t>H</w:t>
      </w:r>
      <w:r w:rsidR="00251545" w:rsidRPr="00BD3DEF">
        <w:rPr>
          <w:rFonts w:ascii="Circular Std Book" w:hAnsi="Circular Std Book" w:cs="Circular Std Book"/>
        </w:rPr>
        <w:t xml:space="preserve">eights (75) and lowest in Avondale </w:t>
      </w:r>
      <w:r w:rsidR="00B03D8D">
        <w:rPr>
          <w:rFonts w:ascii="Circular Std Book" w:hAnsi="Circular Std Book" w:cs="Circular Std Book"/>
        </w:rPr>
        <w:t>H</w:t>
      </w:r>
      <w:r w:rsidR="00251545" w:rsidRPr="00BD3DEF">
        <w:rPr>
          <w:rFonts w:ascii="Circular Std Book" w:hAnsi="Circular Std Book" w:cs="Circular Std Book"/>
        </w:rPr>
        <w:t>eights (57)</w:t>
      </w:r>
    </w:p>
    <w:p w14:paraId="79A85717" w14:textId="77777777" w:rsidR="00251545" w:rsidRPr="00BD3DEF" w:rsidRDefault="000D1339" w:rsidP="00237F4B">
      <w:pPr>
        <w:pStyle w:val="ListParagraph"/>
        <w:numPr>
          <w:ilvl w:val="0"/>
          <w:numId w:val="24"/>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 xml:space="preserve">Majority of residents </w:t>
      </w:r>
      <w:r w:rsidR="00ED4559" w:rsidRPr="00BD3DEF">
        <w:rPr>
          <w:rFonts w:ascii="Circular Std Book" w:hAnsi="Circular Std Book" w:cs="Circular Std Book"/>
        </w:rPr>
        <w:t>trust their neighbours (</w:t>
      </w:r>
      <w:r w:rsidR="00C84F59" w:rsidRPr="00BD3DEF">
        <w:rPr>
          <w:rFonts w:ascii="Circular Std Book" w:hAnsi="Circular Std Book" w:cs="Circular Std Book"/>
        </w:rPr>
        <w:t xml:space="preserve">82 </w:t>
      </w:r>
      <w:r w:rsidR="0017290D" w:rsidRPr="00BD3DEF">
        <w:rPr>
          <w:rFonts w:ascii="Circular Std Book" w:hAnsi="Circular Std Book" w:cs="Circular Std Book"/>
        </w:rPr>
        <w:t>per cent</w:t>
      </w:r>
      <w:r w:rsidR="00ED4559" w:rsidRPr="00BD3DEF">
        <w:rPr>
          <w:rFonts w:ascii="Circular Std Book" w:hAnsi="Circular Std Book" w:cs="Circular Std Book"/>
        </w:rPr>
        <w:t>)</w:t>
      </w:r>
    </w:p>
    <w:p w14:paraId="4A221799" w14:textId="77777777" w:rsidR="00ED4559" w:rsidRPr="00BD3DEF" w:rsidRDefault="00ED4559" w:rsidP="00237F4B">
      <w:pPr>
        <w:pStyle w:val="ListParagraph"/>
        <w:numPr>
          <w:ilvl w:val="0"/>
          <w:numId w:val="24"/>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Volunteering rates are lower compared to other metropolitan municipalities</w:t>
      </w:r>
    </w:p>
    <w:p w14:paraId="18F0275E" w14:textId="61F318DE" w:rsidR="00ED4559" w:rsidRPr="00BD3DEF" w:rsidRDefault="00ED4559" w:rsidP="00237F4B">
      <w:pPr>
        <w:pStyle w:val="ListParagraph"/>
        <w:numPr>
          <w:ilvl w:val="0"/>
          <w:numId w:val="24"/>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21</w:t>
      </w:r>
      <w:r w:rsidR="00580686">
        <w:rPr>
          <w:rFonts w:ascii="Circular Std Book" w:hAnsi="Circular Std Book" w:cs="Circular Std Book"/>
        </w:rPr>
        <w:t xml:space="preserve"> per cent</w:t>
      </w:r>
      <w:r w:rsidR="00251545" w:rsidRPr="00BD3DEF">
        <w:rPr>
          <w:rFonts w:ascii="Circular Std Book" w:hAnsi="Circular Std Book" w:cs="Circular Std Book"/>
        </w:rPr>
        <w:t xml:space="preserve"> </w:t>
      </w:r>
      <w:r w:rsidRPr="00BD3DEF">
        <w:rPr>
          <w:rFonts w:ascii="Circular Std Book" w:hAnsi="Circular Std Book" w:cs="Circular Std Book"/>
        </w:rPr>
        <w:t>of households had no internet access in 2016</w:t>
      </w:r>
      <w:r w:rsidR="005D1E16" w:rsidRPr="00BD3DEF">
        <w:rPr>
          <w:rFonts w:ascii="Circular Std Book" w:hAnsi="Circular Std Book" w:cs="Circular Std Book"/>
        </w:rPr>
        <w:t>; with 37% of people aged over 65 having no internet access</w:t>
      </w:r>
    </w:p>
    <w:p w14:paraId="5023125F" w14:textId="0C0C601A" w:rsidR="00ED4559" w:rsidRPr="00BD3DEF" w:rsidRDefault="00ED4559" w:rsidP="00237F4B">
      <w:pPr>
        <w:pStyle w:val="ListParagraph"/>
        <w:numPr>
          <w:ilvl w:val="0"/>
          <w:numId w:val="24"/>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Family violence rates in Moonee Valley are lower when compared with the municipalities in the North West Metro region</w:t>
      </w:r>
      <w:r w:rsidR="0066393F" w:rsidRPr="00BD3DEF">
        <w:rPr>
          <w:rFonts w:ascii="Circular Std Book" w:hAnsi="Circular Std Book" w:cs="Circular Std Book"/>
        </w:rPr>
        <w:t>, however the frequency in M</w:t>
      </w:r>
      <w:r w:rsidR="00580686">
        <w:rPr>
          <w:rFonts w:ascii="Circular Std Book" w:hAnsi="Circular Std Book" w:cs="Circular Std Book"/>
        </w:rPr>
        <w:t xml:space="preserve">oonee </w:t>
      </w:r>
      <w:r w:rsidR="0066393F" w:rsidRPr="00BD3DEF">
        <w:rPr>
          <w:rFonts w:ascii="Circular Std Book" w:hAnsi="Circular Std Book" w:cs="Circular Std Book"/>
        </w:rPr>
        <w:t>V</w:t>
      </w:r>
      <w:r w:rsidR="00580686">
        <w:rPr>
          <w:rFonts w:ascii="Circular Std Book" w:hAnsi="Circular Std Book" w:cs="Circular Std Book"/>
        </w:rPr>
        <w:t>alley</w:t>
      </w:r>
      <w:r w:rsidR="0066393F" w:rsidRPr="00BD3DEF">
        <w:rPr>
          <w:rFonts w:ascii="Circular Std Book" w:hAnsi="Circular Std Book" w:cs="Circular Std Book"/>
        </w:rPr>
        <w:t xml:space="preserve"> has increased</w:t>
      </w:r>
      <w:r w:rsidR="00164281" w:rsidRPr="00164281">
        <w:rPr>
          <w:rFonts w:ascii="Circular Std Book" w:hAnsi="Circular Std Book" w:cs="Circular Std Book"/>
        </w:rPr>
        <w:t xml:space="preserve"> </w:t>
      </w:r>
      <w:r w:rsidR="00164281" w:rsidRPr="00BD3DEF">
        <w:rPr>
          <w:rFonts w:ascii="Circular Std Book" w:hAnsi="Circular Std Book" w:cs="Circular Std Book"/>
        </w:rPr>
        <w:t>by 3.1 per cent</w:t>
      </w:r>
      <w:r w:rsidR="0066393F" w:rsidRPr="00BD3DEF">
        <w:rPr>
          <w:rFonts w:ascii="Circular Std Book" w:hAnsi="Circular Std Book" w:cs="Circular Std Book"/>
        </w:rPr>
        <w:t xml:space="preserve"> from 2020 to 2021</w:t>
      </w:r>
    </w:p>
    <w:p w14:paraId="6C849C74" w14:textId="1C156925" w:rsidR="006879A0" w:rsidRPr="00BD3DEF" w:rsidRDefault="006879A0" w:rsidP="00237F4B">
      <w:pPr>
        <w:pStyle w:val="ListParagraph"/>
        <w:numPr>
          <w:ilvl w:val="0"/>
          <w:numId w:val="24"/>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Ascot Vale, Essendon and Flemington had the three highest recorded incidences of Family Violence (in 2018)</w:t>
      </w:r>
    </w:p>
    <w:p w14:paraId="3672F518" w14:textId="7C6F7260" w:rsidR="00ED4559" w:rsidRPr="00BD3DEF" w:rsidRDefault="00ED4559" w:rsidP="00237F4B">
      <w:pPr>
        <w:pStyle w:val="ListParagraph"/>
        <w:numPr>
          <w:ilvl w:val="0"/>
          <w:numId w:val="24"/>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Less than</w:t>
      </w:r>
      <w:r w:rsidR="00B03D8D">
        <w:rPr>
          <w:rFonts w:ascii="Circular Std Book" w:hAnsi="Circular Std Book" w:cs="Circular Std Book"/>
        </w:rPr>
        <w:t xml:space="preserve"> half</w:t>
      </w:r>
      <w:r w:rsidRPr="00BD3DEF">
        <w:rPr>
          <w:rFonts w:ascii="Circular Std Book" w:hAnsi="Circular Std Book" w:cs="Circular Std Book"/>
        </w:rPr>
        <w:t xml:space="preserve"> of </w:t>
      </w:r>
      <w:r w:rsidR="0066393F" w:rsidRPr="00BD3DEF">
        <w:rPr>
          <w:rFonts w:ascii="Circular Std Book" w:hAnsi="Circular Std Book" w:cs="Circular Std Book"/>
        </w:rPr>
        <w:t>residents</w:t>
      </w:r>
      <w:r w:rsidRPr="00BD3DEF">
        <w:rPr>
          <w:rFonts w:ascii="Circular Std Book" w:hAnsi="Circular Std Book" w:cs="Circular Std Book"/>
        </w:rPr>
        <w:t xml:space="preserve"> feel safe walking alone at night, and </w:t>
      </w:r>
      <w:r w:rsidR="00164281">
        <w:rPr>
          <w:rFonts w:ascii="Circular Std Book" w:hAnsi="Circular Std Book" w:cs="Circular Std Book"/>
        </w:rPr>
        <w:t xml:space="preserve">men </w:t>
      </w:r>
      <w:r w:rsidRPr="00BD3DEF">
        <w:rPr>
          <w:rFonts w:ascii="Circular Std Book" w:hAnsi="Circular Std Book" w:cs="Circular Std Book"/>
        </w:rPr>
        <w:t xml:space="preserve">reported feeling safe more than </w:t>
      </w:r>
      <w:r w:rsidR="00164281">
        <w:rPr>
          <w:rFonts w:ascii="Circular Std Book" w:hAnsi="Circular Std Book" w:cs="Circular Std Book"/>
        </w:rPr>
        <w:t>women</w:t>
      </w:r>
      <w:r w:rsidR="009C63B0" w:rsidRPr="00BD3DEF">
        <w:rPr>
          <w:rFonts w:ascii="Circular Std Book" w:hAnsi="Circular Std Book" w:cs="Circular Std Book"/>
        </w:rPr>
        <w:t xml:space="preserve"> (32</w:t>
      </w:r>
      <w:r w:rsidR="00C84F59" w:rsidRPr="00BD3DEF">
        <w:rPr>
          <w:rFonts w:ascii="Circular Std Book" w:hAnsi="Circular Std Book" w:cs="Circular Std Book"/>
        </w:rPr>
        <w:t xml:space="preserve"> </w:t>
      </w:r>
      <w:r w:rsidR="0017290D" w:rsidRPr="00BD3DEF">
        <w:rPr>
          <w:rFonts w:ascii="Circular Std Book" w:hAnsi="Circular Std Book" w:cs="Circular Std Book"/>
        </w:rPr>
        <w:t>per cent</w:t>
      </w:r>
      <w:r w:rsidR="009C63B0" w:rsidRPr="00BD3DEF">
        <w:rPr>
          <w:rFonts w:ascii="Circular Std Book" w:hAnsi="Circular Std Book" w:cs="Circular Std Book"/>
        </w:rPr>
        <w:t xml:space="preserve"> for women: 61</w:t>
      </w:r>
      <w:r w:rsidR="0017290D" w:rsidRPr="00BD3DEF">
        <w:rPr>
          <w:rFonts w:ascii="Circular Std Book" w:hAnsi="Circular Std Book" w:cs="Circular Std Book"/>
        </w:rPr>
        <w:t>per cent</w:t>
      </w:r>
      <w:r w:rsidR="009C63B0" w:rsidRPr="00BD3DEF">
        <w:rPr>
          <w:rFonts w:ascii="Circular Std Book" w:hAnsi="Circular Std Book" w:cs="Circular Std Book"/>
        </w:rPr>
        <w:t xml:space="preserve"> for men)</w:t>
      </w:r>
    </w:p>
    <w:p w14:paraId="7331635F" w14:textId="1258930D" w:rsidR="00FC78B9" w:rsidRDefault="00FC78B9" w:rsidP="00BE2883">
      <w:pPr>
        <w:pStyle w:val="BodyText"/>
      </w:pPr>
    </w:p>
    <w:p w14:paraId="6B0E203A" w14:textId="7283E919" w:rsidR="00F943D9" w:rsidRPr="00B2525C" w:rsidRDefault="00F943D9" w:rsidP="00F943D9">
      <w:pPr>
        <w:pStyle w:val="BodyText"/>
        <w:jc w:val="center"/>
      </w:pPr>
      <w:r>
        <w:rPr>
          <w:rFonts w:cs="Arial"/>
          <w:noProof/>
        </w:rPr>
        <w:drawing>
          <wp:inline distT="0" distB="0" distL="0" distR="0" wp14:anchorId="49924A0F" wp14:editId="0C300389">
            <wp:extent cx="4697791" cy="3041518"/>
            <wp:effectExtent l="0" t="0" r="762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0B5EB.tmp"/>
                    <pic:cNvPicPr/>
                  </pic:nvPicPr>
                  <pic:blipFill>
                    <a:blip r:embed="rId66">
                      <a:extLst>
                        <a:ext uri="{28A0092B-C50C-407E-A947-70E740481C1C}">
                          <a14:useLocalDpi xmlns:a14="http://schemas.microsoft.com/office/drawing/2010/main" val="0"/>
                        </a:ext>
                      </a:extLst>
                    </a:blip>
                    <a:stretch>
                      <a:fillRect/>
                    </a:stretch>
                  </pic:blipFill>
                  <pic:spPr>
                    <a:xfrm>
                      <a:off x="0" y="0"/>
                      <a:ext cx="4736940" cy="3066864"/>
                    </a:xfrm>
                    <a:prstGeom prst="rect">
                      <a:avLst/>
                    </a:prstGeom>
                  </pic:spPr>
                </pic:pic>
              </a:graphicData>
            </a:graphic>
          </wp:inline>
        </w:drawing>
      </w:r>
    </w:p>
    <w:p w14:paraId="48BE228E" w14:textId="77777777" w:rsidR="00237F4B" w:rsidRDefault="00237F4B" w:rsidP="00FC78B9">
      <w:pPr>
        <w:pStyle w:val="Heading3"/>
        <w:rPr>
          <w:rFonts w:cs="Arial"/>
        </w:rPr>
      </w:pPr>
      <w:r>
        <w:rPr>
          <w:rFonts w:cs="Arial"/>
        </w:rPr>
        <w:br w:type="page"/>
      </w:r>
    </w:p>
    <w:p w14:paraId="414082EB" w14:textId="7E16BD5D" w:rsidR="00FC78B9" w:rsidRDefault="00506643" w:rsidP="007A7AC3">
      <w:pPr>
        <w:pStyle w:val="Heading2"/>
      </w:pPr>
      <w:r w:rsidRPr="00AF482D">
        <w:rPr>
          <w:noProof/>
        </w:rPr>
        <w:lastRenderedPageBreak/>
        <w:drawing>
          <wp:inline distT="0" distB="0" distL="0" distR="0" wp14:anchorId="496BA26E" wp14:editId="4143235D">
            <wp:extent cx="540000" cy="532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42" b="2837"/>
                    <a:stretch/>
                  </pic:blipFill>
                  <pic:spPr bwMode="auto">
                    <a:xfrm>
                      <a:off x="0" y="0"/>
                      <a:ext cx="540000" cy="532230"/>
                    </a:xfrm>
                    <a:prstGeom prst="rect">
                      <a:avLst/>
                    </a:prstGeom>
                    <a:ln>
                      <a:noFill/>
                    </a:ln>
                    <a:extLst>
                      <a:ext uri="{53640926-AAD7-44D8-BBD7-CCE9431645EC}">
                        <a14:shadowObscured xmlns:a14="http://schemas.microsoft.com/office/drawing/2010/main"/>
                      </a:ext>
                    </a:extLst>
                  </pic:spPr>
                </pic:pic>
              </a:graphicData>
            </a:graphic>
          </wp:inline>
        </w:drawing>
      </w:r>
      <w:r w:rsidR="00FC78B9" w:rsidRPr="00B2525C">
        <w:t>Social connection</w:t>
      </w:r>
      <w:r w:rsidR="00237F4B">
        <w:t xml:space="preserve"> and inc</w:t>
      </w:r>
      <w:r w:rsidR="00C212F9">
        <w:t>lusion</w:t>
      </w:r>
    </w:p>
    <w:p w14:paraId="62EB4956" w14:textId="77777777" w:rsidR="00BD3DEF" w:rsidRPr="00BD3DEF" w:rsidRDefault="00BD3DEF" w:rsidP="00BD3DEF"/>
    <w:p w14:paraId="77694B85" w14:textId="20D75677" w:rsidR="00FC78B9" w:rsidRPr="00B2525C" w:rsidRDefault="00FC78B9" w:rsidP="00251545">
      <w:pPr>
        <w:rPr>
          <w:rFonts w:cs="Arial"/>
        </w:rPr>
      </w:pPr>
      <w:r w:rsidRPr="00B2525C">
        <w:rPr>
          <w:rFonts w:cs="Arial"/>
        </w:rPr>
        <w:t>The connections that we form at an individual and community level are an important contributor to mental and physical health. The</w:t>
      </w:r>
      <w:r w:rsidR="00E06B84" w:rsidRPr="00B2525C">
        <w:rPr>
          <w:rFonts w:cs="Arial"/>
        </w:rPr>
        <w:t xml:space="preserve"> </w:t>
      </w:r>
      <w:r w:rsidRPr="00B2525C">
        <w:rPr>
          <w:rFonts w:cs="Arial"/>
        </w:rPr>
        <w:t>quality and quantity of our social relationship</w:t>
      </w:r>
      <w:r w:rsidR="00E06B84" w:rsidRPr="00B2525C">
        <w:rPr>
          <w:rFonts w:cs="Arial"/>
        </w:rPr>
        <w:t xml:space="preserve"> </w:t>
      </w:r>
      <w:r w:rsidRPr="00B2525C">
        <w:rPr>
          <w:rFonts w:cs="Arial"/>
        </w:rPr>
        <w:t>have been linked not only to mental health but also to morbidity and mortality. People with</w:t>
      </w:r>
      <w:r w:rsidR="0029000B" w:rsidRPr="00B2525C">
        <w:rPr>
          <w:rFonts w:cs="Arial"/>
        </w:rPr>
        <w:t xml:space="preserve"> </w:t>
      </w:r>
      <w:r w:rsidRPr="00B2525C">
        <w:rPr>
          <w:rFonts w:cs="Arial"/>
        </w:rPr>
        <w:t xml:space="preserve">more positive social connections are more likely to live longer, and report </w:t>
      </w:r>
      <w:r w:rsidR="00E06B84" w:rsidRPr="00B2525C">
        <w:rPr>
          <w:rFonts w:cs="Arial"/>
        </w:rPr>
        <w:t>higher</w:t>
      </w:r>
      <w:r w:rsidRPr="00B2525C">
        <w:rPr>
          <w:rFonts w:cs="Arial"/>
        </w:rPr>
        <w:t xml:space="preserve"> levels of quality of life.</w:t>
      </w:r>
      <w:r w:rsidR="00E06B84" w:rsidRPr="00B2525C">
        <w:rPr>
          <w:rFonts w:cs="Arial"/>
        </w:rPr>
        <w:t xml:space="preserve"> </w:t>
      </w:r>
      <w:r w:rsidRPr="00B2525C">
        <w:rPr>
          <w:rFonts w:cs="Arial"/>
        </w:rPr>
        <w:t xml:space="preserve">There has been emerging evidence that </w:t>
      </w:r>
      <w:r w:rsidR="00E06B84" w:rsidRPr="00B2525C">
        <w:rPr>
          <w:rFonts w:cs="Arial"/>
        </w:rPr>
        <w:t xml:space="preserve">the impact of </w:t>
      </w:r>
      <w:r w:rsidRPr="00B2525C">
        <w:rPr>
          <w:rFonts w:cs="Arial"/>
        </w:rPr>
        <w:t>social isolation and loneliness on health and mortality are more damaging than physiological conditions such as high blood pressure, obesity and smoking</w:t>
      </w:r>
      <w:r w:rsidR="00C84F59" w:rsidRPr="00B2525C">
        <w:rPr>
          <w:rFonts w:cs="Arial"/>
        </w:rPr>
        <w:t xml:space="preserve"> -</w:t>
      </w:r>
      <w:r w:rsidR="00E06B84" w:rsidRPr="00B2525C">
        <w:rPr>
          <w:rFonts w:cs="Arial"/>
        </w:rPr>
        <w:t xml:space="preserve"> making</w:t>
      </w:r>
      <w:r w:rsidR="0029000B" w:rsidRPr="00B2525C">
        <w:rPr>
          <w:rFonts w:cs="Arial"/>
        </w:rPr>
        <w:t xml:space="preserve"> </w:t>
      </w:r>
      <w:r w:rsidRPr="00B2525C">
        <w:rPr>
          <w:rFonts w:cs="Arial"/>
        </w:rPr>
        <w:t xml:space="preserve">social </w:t>
      </w:r>
      <w:r w:rsidR="00E06B84" w:rsidRPr="00B2525C">
        <w:rPr>
          <w:rFonts w:cs="Arial"/>
        </w:rPr>
        <w:t>connection</w:t>
      </w:r>
      <w:r w:rsidRPr="00B2525C">
        <w:rPr>
          <w:rFonts w:cs="Arial"/>
        </w:rPr>
        <w:t xml:space="preserve"> an important public health issue</w:t>
      </w:r>
      <w:r w:rsidR="00C84F59" w:rsidRPr="00B2525C">
        <w:rPr>
          <w:rFonts w:cs="Arial"/>
        </w:rPr>
        <w:t xml:space="preserve"> (</w:t>
      </w:r>
      <w:r w:rsidR="00974B62" w:rsidRPr="00B2525C">
        <w:rPr>
          <w:rFonts w:cs="Arial"/>
        </w:rPr>
        <w:t>Lim, Holt-</w:t>
      </w:r>
      <w:proofErr w:type="spellStart"/>
      <w:r w:rsidR="00974B62" w:rsidRPr="00B2525C">
        <w:rPr>
          <w:rFonts w:cs="Arial"/>
        </w:rPr>
        <w:t>Lunstad</w:t>
      </w:r>
      <w:proofErr w:type="spellEnd"/>
      <w:r w:rsidR="00974B62" w:rsidRPr="00B2525C">
        <w:rPr>
          <w:rFonts w:cs="Arial"/>
        </w:rPr>
        <w:t xml:space="preserve">, &amp; Badcock, 2020). </w:t>
      </w:r>
      <w:r w:rsidRPr="00B2525C">
        <w:rPr>
          <w:rFonts w:cs="Arial"/>
        </w:rPr>
        <w:t xml:space="preserve">Social </w:t>
      </w:r>
      <w:r w:rsidR="00164281">
        <w:rPr>
          <w:rFonts w:cs="Arial"/>
        </w:rPr>
        <w:t>inclusio</w:t>
      </w:r>
      <w:r w:rsidR="00974B62" w:rsidRPr="00B2525C">
        <w:rPr>
          <w:rFonts w:cs="Arial"/>
        </w:rPr>
        <w:t xml:space="preserve">n can </w:t>
      </w:r>
      <w:r w:rsidR="00502241" w:rsidRPr="00B2525C">
        <w:rPr>
          <w:rFonts w:cs="Arial"/>
        </w:rPr>
        <w:t>also</w:t>
      </w:r>
      <w:r w:rsidR="00974B62" w:rsidRPr="00B2525C">
        <w:rPr>
          <w:rFonts w:cs="Arial"/>
        </w:rPr>
        <w:t xml:space="preserve"> </w:t>
      </w:r>
      <w:r w:rsidR="00E06B84" w:rsidRPr="00B2525C">
        <w:rPr>
          <w:rFonts w:cs="Arial"/>
        </w:rPr>
        <w:t>enabl</w:t>
      </w:r>
      <w:r w:rsidR="00502241" w:rsidRPr="00B2525C">
        <w:rPr>
          <w:rFonts w:cs="Arial"/>
        </w:rPr>
        <w:t>e</w:t>
      </w:r>
      <w:r w:rsidR="00E06B84" w:rsidRPr="00B2525C">
        <w:rPr>
          <w:rFonts w:cs="Arial"/>
        </w:rPr>
        <w:t xml:space="preserve"> people</w:t>
      </w:r>
      <w:r w:rsidRPr="00B2525C">
        <w:rPr>
          <w:rFonts w:cs="Arial"/>
        </w:rPr>
        <w:t xml:space="preserve"> to access resource</w:t>
      </w:r>
      <w:r w:rsidR="00974B62" w:rsidRPr="00B2525C">
        <w:rPr>
          <w:rFonts w:cs="Arial"/>
        </w:rPr>
        <w:t>s</w:t>
      </w:r>
      <w:r w:rsidRPr="00B2525C">
        <w:rPr>
          <w:rFonts w:cs="Arial"/>
        </w:rPr>
        <w:t xml:space="preserve"> such as social/emotional support, information and </w:t>
      </w:r>
      <w:proofErr w:type="gramStart"/>
      <w:r w:rsidRPr="00B2525C">
        <w:rPr>
          <w:rFonts w:cs="Arial"/>
        </w:rPr>
        <w:t>assistance</w:t>
      </w:r>
      <w:r w:rsidR="00502241" w:rsidRPr="00B2525C">
        <w:rPr>
          <w:rFonts w:cs="Arial"/>
        </w:rPr>
        <w:t xml:space="preserve"> </w:t>
      </w:r>
      <w:r w:rsidR="00580686">
        <w:rPr>
          <w:rFonts w:cs="Arial"/>
        </w:rPr>
        <w:t>.</w:t>
      </w:r>
      <w:proofErr w:type="gramEnd"/>
    </w:p>
    <w:p w14:paraId="1D832102" w14:textId="77777777" w:rsidR="00FC78B9" w:rsidRPr="00B2525C" w:rsidRDefault="00FC78B9" w:rsidP="00E06B84">
      <w:pPr>
        <w:rPr>
          <w:rFonts w:cs="Arial"/>
        </w:rPr>
      </w:pPr>
    </w:p>
    <w:p w14:paraId="4A960E96" w14:textId="57DDF65F" w:rsidR="00247FA3" w:rsidRDefault="00E37EA5" w:rsidP="00E06B84">
      <w:pPr>
        <w:rPr>
          <w:rFonts w:cs="Arial"/>
        </w:rPr>
      </w:pPr>
      <w:r w:rsidRPr="00B2525C">
        <w:rPr>
          <w:rFonts w:cs="Arial"/>
        </w:rPr>
        <w:t>Moonee Valley City Council</w:t>
      </w:r>
      <w:r w:rsidR="00DF5BA3">
        <w:rPr>
          <w:rFonts w:cs="Arial"/>
        </w:rPr>
        <w:t>’</w:t>
      </w:r>
      <w:r w:rsidR="00502241" w:rsidRPr="00B2525C">
        <w:rPr>
          <w:rFonts w:cs="Arial"/>
        </w:rPr>
        <w:t xml:space="preserve">s </w:t>
      </w:r>
      <w:r w:rsidR="00FC78B9" w:rsidRPr="00B2525C">
        <w:rPr>
          <w:rFonts w:cs="Arial"/>
        </w:rPr>
        <w:t xml:space="preserve">annual community survey asks question about social and neighbourhood </w:t>
      </w:r>
      <w:r w:rsidR="00E06B84" w:rsidRPr="00B2525C">
        <w:rPr>
          <w:rFonts w:cs="Arial"/>
        </w:rPr>
        <w:t>connection</w:t>
      </w:r>
      <w:r w:rsidR="00FC78B9" w:rsidRPr="00B2525C">
        <w:rPr>
          <w:rFonts w:cs="Arial"/>
        </w:rPr>
        <w:t>. These include feeling part of the local community</w:t>
      </w:r>
      <w:r w:rsidR="0029000B" w:rsidRPr="00B2525C">
        <w:rPr>
          <w:rFonts w:cs="Arial"/>
        </w:rPr>
        <w:t xml:space="preserve"> </w:t>
      </w:r>
      <w:r w:rsidR="00FC78B9" w:rsidRPr="00B2525C">
        <w:rPr>
          <w:rFonts w:cs="Arial"/>
        </w:rPr>
        <w:t>and feelings of trust</w:t>
      </w:r>
      <w:r w:rsidR="0029000B" w:rsidRPr="00B2525C">
        <w:rPr>
          <w:rFonts w:cs="Arial"/>
        </w:rPr>
        <w:t xml:space="preserve">. </w:t>
      </w:r>
      <w:r w:rsidR="00A829D4" w:rsidRPr="00B2525C">
        <w:rPr>
          <w:rFonts w:cs="Arial"/>
        </w:rPr>
        <w:t xml:space="preserve">On average in 2021, adults in Moonee Valley reported a score of 65 out of 100 when asked if they felt part of the local community. Higher scores indicate greater feelings of community connection. The score was highest in Strathmore </w:t>
      </w:r>
      <w:r w:rsidR="00DF5BA3">
        <w:rPr>
          <w:rFonts w:cs="Arial"/>
        </w:rPr>
        <w:t>H</w:t>
      </w:r>
      <w:r w:rsidR="00A829D4" w:rsidRPr="00B2525C">
        <w:rPr>
          <w:rFonts w:cs="Arial"/>
        </w:rPr>
        <w:t xml:space="preserve">eights (75) and lowest in Avondale </w:t>
      </w:r>
      <w:r w:rsidR="00DF5BA3">
        <w:rPr>
          <w:rFonts w:cs="Arial"/>
        </w:rPr>
        <w:t>H</w:t>
      </w:r>
      <w:r w:rsidR="00A829D4" w:rsidRPr="00B2525C">
        <w:rPr>
          <w:rFonts w:cs="Arial"/>
        </w:rPr>
        <w:t xml:space="preserve">eights (57). </w:t>
      </w:r>
      <w:r w:rsidR="00247FA3" w:rsidRPr="00B2525C">
        <w:rPr>
          <w:rFonts w:cs="Arial"/>
        </w:rPr>
        <w:t>When looked at separately for males and females there was no difference</w:t>
      </w:r>
      <w:r w:rsidR="00502241" w:rsidRPr="00B2525C">
        <w:rPr>
          <w:rFonts w:cs="Arial"/>
        </w:rPr>
        <w:t>.</w:t>
      </w:r>
    </w:p>
    <w:p w14:paraId="79BA678E" w14:textId="77777777" w:rsidR="001F1E87" w:rsidRDefault="001F1E87" w:rsidP="00E06B84">
      <w:pPr>
        <w:rPr>
          <w:rFonts w:cs="Arial"/>
        </w:rPr>
      </w:pPr>
    </w:p>
    <w:p w14:paraId="17F07CBC" w14:textId="47B0729D" w:rsidR="00C212F9" w:rsidRPr="00B2525C" w:rsidRDefault="001F1E87" w:rsidP="00E06B84">
      <w:pPr>
        <w:rPr>
          <w:rFonts w:cs="Arial"/>
        </w:rPr>
      </w:pPr>
      <w:r w:rsidRPr="00B9259C">
        <w:rPr>
          <w:rFonts w:cs="Arial"/>
          <w:b/>
        </w:rPr>
        <w:t>Figure</w:t>
      </w:r>
      <w:r w:rsidR="00B03D8D" w:rsidRPr="00B9259C">
        <w:rPr>
          <w:rFonts w:cs="Arial"/>
          <w:b/>
        </w:rPr>
        <w:t xml:space="preserve"> </w:t>
      </w:r>
      <w:r w:rsidR="00B93B84" w:rsidRPr="00B9259C">
        <w:rPr>
          <w:rFonts w:cs="Arial"/>
          <w:b/>
        </w:rPr>
        <w:t>39</w:t>
      </w:r>
      <w:r w:rsidR="00B93B84">
        <w:rPr>
          <w:rFonts w:cs="Arial"/>
        </w:rPr>
        <w:t>.</w:t>
      </w:r>
      <w:r>
        <w:rPr>
          <w:rFonts w:cs="Arial"/>
        </w:rPr>
        <w:t xml:space="preserve"> Community connection </w:t>
      </w:r>
    </w:p>
    <w:p w14:paraId="7FEDFFB3" w14:textId="77777777" w:rsidR="00247FA3" w:rsidRPr="00B2525C" w:rsidRDefault="00247FA3" w:rsidP="00E06B84">
      <w:pPr>
        <w:rPr>
          <w:rFonts w:cs="Arial"/>
        </w:rPr>
      </w:pPr>
      <w:r w:rsidRPr="00B2525C">
        <w:rPr>
          <w:rFonts w:cs="Arial"/>
          <w:noProof/>
        </w:rPr>
        <w:drawing>
          <wp:inline distT="0" distB="0" distL="0" distR="0" wp14:anchorId="557D7FDA" wp14:editId="4A9EBEBD">
            <wp:extent cx="6167832" cy="3838669"/>
            <wp:effectExtent l="0" t="0" r="444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23397" cy="3873251"/>
                    </a:xfrm>
                    <a:prstGeom prst="rect">
                      <a:avLst/>
                    </a:prstGeom>
                  </pic:spPr>
                </pic:pic>
              </a:graphicData>
            </a:graphic>
          </wp:inline>
        </w:drawing>
      </w:r>
    </w:p>
    <w:p w14:paraId="68777A33" w14:textId="77777777" w:rsidR="00DA4C07" w:rsidRDefault="00DA4C07" w:rsidP="00E06B84">
      <w:pPr>
        <w:rPr>
          <w:rFonts w:cs="Arial"/>
          <w:i/>
          <w:sz w:val="20"/>
          <w:szCs w:val="20"/>
        </w:rPr>
      </w:pPr>
      <w:r w:rsidRPr="00C212F9">
        <w:rPr>
          <w:rFonts w:cs="Arial"/>
          <w:i/>
          <w:sz w:val="20"/>
          <w:szCs w:val="20"/>
        </w:rPr>
        <w:lastRenderedPageBreak/>
        <w:t>Source: Moonee Valley City Council annual community survey, 2020</w:t>
      </w:r>
    </w:p>
    <w:p w14:paraId="4A97E040" w14:textId="6926468B" w:rsidR="001F1E87" w:rsidRPr="001F1E87" w:rsidRDefault="001F1E87" w:rsidP="00E06B84">
      <w:pPr>
        <w:rPr>
          <w:rFonts w:cs="Arial"/>
        </w:rPr>
      </w:pPr>
      <w:r w:rsidRPr="001F1E87">
        <w:rPr>
          <w:rFonts w:cs="Arial"/>
          <w:b/>
        </w:rPr>
        <w:t>Figure</w:t>
      </w:r>
      <w:r w:rsidR="00DF5BA3">
        <w:rPr>
          <w:rFonts w:cs="Arial"/>
          <w:b/>
        </w:rPr>
        <w:t xml:space="preserve"> </w:t>
      </w:r>
      <w:r w:rsidR="00B93B84">
        <w:rPr>
          <w:rFonts w:cs="Arial"/>
          <w:b/>
        </w:rPr>
        <w:t>40</w:t>
      </w:r>
      <w:r w:rsidR="00B93B84">
        <w:rPr>
          <w:rFonts w:cs="Arial"/>
        </w:rPr>
        <w:t xml:space="preserve">. </w:t>
      </w:r>
      <w:r w:rsidRPr="001F1E87">
        <w:rPr>
          <w:rFonts w:cs="Arial"/>
        </w:rPr>
        <w:t>Community connection annual trends, 2019-2021</w:t>
      </w:r>
    </w:p>
    <w:p w14:paraId="3F82DC67" w14:textId="77777777" w:rsidR="00247FA3" w:rsidRPr="00B2525C" w:rsidRDefault="00247FA3" w:rsidP="00E06B84">
      <w:pPr>
        <w:rPr>
          <w:rFonts w:cs="Arial"/>
        </w:rPr>
      </w:pPr>
      <w:r w:rsidRPr="00B2525C">
        <w:rPr>
          <w:rFonts w:cs="Arial"/>
          <w:noProof/>
        </w:rPr>
        <w:drawing>
          <wp:inline distT="0" distB="0" distL="0" distR="0" wp14:anchorId="47082BC1" wp14:editId="1F8375D0">
            <wp:extent cx="5932805" cy="326003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87431" cy="3290050"/>
                    </a:xfrm>
                    <a:prstGeom prst="rect">
                      <a:avLst/>
                    </a:prstGeom>
                  </pic:spPr>
                </pic:pic>
              </a:graphicData>
            </a:graphic>
          </wp:inline>
        </w:drawing>
      </w:r>
    </w:p>
    <w:p w14:paraId="1A4E3D80" w14:textId="77777777" w:rsidR="00DA4C07" w:rsidRPr="00C212F9" w:rsidRDefault="00DA4C07" w:rsidP="00DA4C07">
      <w:pPr>
        <w:rPr>
          <w:rFonts w:cs="Arial"/>
          <w:i/>
          <w:sz w:val="20"/>
          <w:szCs w:val="20"/>
        </w:rPr>
      </w:pPr>
      <w:r w:rsidRPr="00C212F9">
        <w:rPr>
          <w:rFonts w:cs="Arial"/>
          <w:i/>
          <w:sz w:val="20"/>
          <w:szCs w:val="20"/>
        </w:rPr>
        <w:t>Source: Moonee Valley City Council annual community survey, 2020</w:t>
      </w:r>
    </w:p>
    <w:p w14:paraId="469A286C" w14:textId="77777777" w:rsidR="00247FA3" w:rsidRPr="00B2525C" w:rsidRDefault="00247FA3" w:rsidP="00FC78B9">
      <w:pPr>
        <w:rPr>
          <w:rFonts w:cs="Arial"/>
        </w:rPr>
      </w:pPr>
    </w:p>
    <w:p w14:paraId="230D97AB" w14:textId="79417FBD" w:rsidR="00247FA3" w:rsidRDefault="00A829D4" w:rsidP="00247FA3">
      <w:pPr>
        <w:rPr>
          <w:rFonts w:cs="Arial"/>
        </w:rPr>
      </w:pPr>
      <w:r w:rsidRPr="00B2525C">
        <w:rPr>
          <w:rFonts w:cs="Arial"/>
        </w:rPr>
        <w:t xml:space="preserve">Moonee Valley adults reported on average a score of 71 out of 100 when asked if people in this neighbourhood can be trusted. Higher scores indicate more trust. The score was highest in Aberfeldie (76), Keilor East (76), Strathmore (76) Strathmore </w:t>
      </w:r>
      <w:r w:rsidR="00DF5BA3">
        <w:rPr>
          <w:rFonts w:cs="Arial"/>
        </w:rPr>
        <w:t>H</w:t>
      </w:r>
      <w:r w:rsidRPr="00B2525C">
        <w:rPr>
          <w:rFonts w:cs="Arial"/>
        </w:rPr>
        <w:t>eights (76),</w:t>
      </w:r>
      <w:r w:rsidR="0029000B" w:rsidRPr="00B2525C">
        <w:rPr>
          <w:rFonts w:cs="Arial"/>
        </w:rPr>
        <w:t xml:space="preserve"> </w:t>
      </w:r>
      <w:r w:rsidRPr="00B2525C">
        <w:rPr>
          <w:rFonts w:cs="Arial"/>
        </w:rPr>
        <w:t xml:space="preserve">and lowest in Flemington (67). </w:t>
      </w:r>
      <w:r w:rsidR="00247FA3" w:rsidRPr="00B2525C">
        <w:rPr>
          <w:rFonts w:cs="Arial"/>
        </w:rPr>
        <w:t xml:space="preserve">When looked at separately for </w:t>
      </w:r>
      <w:r w:rsidR="00974B62" w:rsidRPr="00B2525C">
        <w:rPr>
          <w:rFonts w:cs="Arial"/>
        </w:rPr>
        <w:t>men</w:t>
      </w:r>
      <w:r w:rsidR="00247FA3" w:rsidRPr="00B2525C">
        <w:rPr>
          <w:rFonts w:cs="Arial"/>
        </w:rPr>
        <w:t xml:space="preserve"> and </w:t>
      </w:r>
      <w:r w:rsidR="00974B62" w:rsidRPr="00B2525C">
        <w:rPr>
          <w:rFonts w:cs="Arial"/>
        </w:rPr>
        <w:t>women</w:t>
      </w:r>
      <w:r w:rsidR="00247FA3" w:rsidRPr="00B2525C">
        <w:rPr>
          <w:rFonts w:cs="Arial"/>
        </w:rPr>
        <w:t xml:space="preserve"> there was little difference, with men</w:t>
      </w:r>
      <w:r w:rsidRPr="00B2525C">
        <w:rPr>
          <w:rFonts w:cs="Arial"/>
        </w:rPr>
        <w:t xml:space="preserve"> </w:t>
      </w:r>
      <w:r w:rsidR="00247FA3" w:rsidRPr="00B2525C">
        <w:rPr>
          <w:rFonts w:cs="Arial"/>
        </w:rPr>
        <w:t>reporting on average a score of 71 and women 72</w:t>
      </w:r>
      <w:r w:rsidRPr="00B2525C">
        <w:rPr>
          <w:rFonts w:cs="Arial"/>
        </w:rPr>
        <w:t>.</w:t>
      </w:r>
    </w:p>
    <w:p w14:paraId="5B804C31" w14:textId="77777777" w:rsidR="001F1E87" w:rsidRPr="00C918A0" w:rsidRDefault="001F1E87" w:rsidP="00247FA3">
      <w:pPr>
        <w:rPr>
          <w:rFonts w:cs="Arial"/>
        </w:rPr>
      </w:pPr>
    </w:p>
    <w:p w14:paraId="63F7E22B" w14:textId="6FC881F2" w:rsidR="00C212F9" w:rsidRPr="00B2525C" w:rsidRDefault="001F1E87" w:rsidP="00247FA3">
      <w:pPr>
        <w:rPr>
          <w:rFonts w:cs="Arial"/>
        </w:rPr>
      </w:pPr>
      <w:r w:rsidRPr="00C918A0">
        <w:rPr>
          <w:rFonts w:cs="Arial"/>
          <w:b/>
        </w:rPr>
        <w:t>Figure</w:t>
      </w:r>
      <w:r w:rsidR="00B93B84">
        <w:rPr>
          <w:rFonts w:cs="Arial"/>
          <w:b/>
        </w:rPr>
        <w:t xml:space="preserve"> 41</w:t>
      </w:r>
      <w:r w:rsidR="00B93B84">
        <w:rPr>
          <w:rFonts w:cs="Arial"/>
        </w:rPr>
        <w:t xml:space="preserve">. </w:t>
      </w:r>
      <w:r w:rsidRPr="00C918A0">
        <w:rPr>
          <w:rFonts w:cs="Arial"/>
        </w:rPr>
        <w:t>Neighbourhood trust</w:t>
      </w:r>
    </w:p>
    <w:p w14:paraId="37AC7AD1" w14:textId="77777777" w:rsidR="00247FA3" w:rsidRPr="00B2525C" w:rsidRDefault="00247FA3" w:rsidP="00FC78B9">
      <w:pPr>
        <w:rPr>
          <w:rFonts w:cs="Arial"/>
        </w:rPr>
      </w:pPr>
      <w:r w:rsidRPr="00B2525C">
        <w:rPr>
          <w:rFonts w:cs="Arial"/>
          <w:noProof/>
        </w:rPr>
        <w:drawing>
          <wp:inline distT="0" distB="0" distL="0" distR="0" wp14:anchorId="114B7938" wp14:editId="177605DB">
            <wp:extent cx="5762050" cy="2790908"/>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87600" cy="2803283"/>
                    </a:xfrm>
                    <a:prstGeom prst="rect">
                      <a:avLst/>
                    </a:prstGeom>
                  </pic:spPr>
                </pic:pic>
              </a:graphicData>
            </a:graphic>
          </wp:inline>
        </w:drawing>
      </w:r>
    </w:p>
    <w:p w14:paraId="6EF06CAE" w14:textId="77777777" w:rsidR="00164281" w:rsidRPr="00164281" w:rsidRDefault="00DA4C07" w:rsidP="00164281">
      <w:pPr>
        <w:rPr>
          <w:rFonts w:cs="Arial"/>
          <w:i/>
          <w:sz w:val="20"/>
          <w:szCs w:val="20"/>
        </w:rPr>
      </w:pPr>
      <w:r w:rsidRPr="00C212F9">
        <w:rPr>
          <w:rFonts w:cs="Arial"/>
          <w:i/>
          <w:sz w:val="20"/>
          <w:szCs w:val="20"/>
        </w:rPr>
        <w:lastRenderedPageBreak/>
        <w:t>Source: Moonee Valley City Council annual community survey, 2020</w:t>
      </w:r>
    </w:p>
    <w:p w14:paraId="1886375D" w14:textId="77777777" w:rsidR="00974B62" w:rsidRPr="00B2525C" w:rsidRDefault="00974B62" w:rsidP="00974B62">
      <w:pPr>
        <w:pStyle w:val="Heading3"/>
        <w:rPr>
          <w:rFonts w:cs="Arial"/>
        </w:rPr>
      </w:pPr>
      <w:r w:rsidRPr="00B2525C">
        <w:rPr>
          <w:rFonts w:cs="Arial"/>
        </w:rPr>
        <w:t>Volunteering</w:t>
      </w:r>
    </w:p>
    <w:p w14:paraId="7006B0D7" w14:textId="60CE5EB5" w:rsidR="00C212F9" w:rsidRDefault="00247FA3" w:rsidP="00247FA3">
      <w:pPr>
        <w:rPr>
          <w:rFonts w:cs="Arial"/>
        </w:rPr>
      </w:pPr>
      <w:r w:rsidRPr="00B2525C">
        <w:rPr>
          <w:rFonts w:cs="Arial"/>
        </w:rPr>
        <w:t>Volunteering is also another indicator of social and neighbourhood connection. According to the 2016 census</w:t>
      </w:r>
      <w:r w:rsidR="00DF5BA3">
        <w:rPr>
          <w:rFonts w:cs="Arial"/>
        </w:rPr>
        <w:t>,</w:t>
      </w:r>
      <w:r w:rsidRPr="00B2525C">
        <w:rPr>
          <w:rFonts w:cs="Arial"/>
        </w:rPr>
        <w:t xml:space="preserve"> Moonee Valley residents reported volunteering at a similar percent to greater Melbourne (17.8</w:t>
      </w:r>
      <w:r w:rsidR="00502241" w:rsidRPr="00B2525C">
        <w:rPr>
          <w:rFonts w:cs="Arial"/>
        </w:rPr>
        <w:t xml:space="preserve"> </w:t>
      </w:r>
      <w:r w:rsidR="0017290D" w:rsidRPr="00B2525C">
        <w:rPr>
          <w:rFonts w:cs="Arial"/>
        </w:rPr>
        <w:t>per cent</w:t>
      </w:r>
      <w:r w:rsidRPr="00B2525C">
        <w:rPr>
          <w:rFonts w:cs="Arial"/>
        </w:rPr>
        <w:t xml:space="preserve"> and 17.6</w:t>
      </w:r>
      <w:r w:rsidR="00502241" w:rsidRPr="00B2525C">
        <w:rPr>
          <w:rFonts w:cs="Arial"/>
        </w:rPr>
        <w:t xml:space="preserve"> </w:t>
      </w:r>
      <w:r w:rsidR="0017290D" w:rsidRPr="00B2525C">
        <w:rPr>
          <w:rFonts w:cs="Arial"/>
        </w:rPr>
        <w:t>per cent</w:t>
      </w:r>
      <w:r w:rsidRPr="00B2525C">
        <w:rPr>
          <w:rFonts w:cs="Arial"/>
        </w:rPr>
        <w:t xml:space="preserve"> respectively), but less than </w:t>
      </w:r>
      <w:r w:rsidR="00502241" w:rsidRPr="00B2525C">
        <w:rPr>
          <w:rFonts w:cs="Arial"/>
        </w:rPr>
        <w:t xml:space="preserve">the </w:t>
      </w:r>
      <w:r w:rsidRPr="00B2525C">
        <w:rPr>
          <w:rFonts w:cs="Arial"/>
        </w:rPr>
        <w:t xml:space="preserve">Victorian </w:t>
      </w:r>
      <w:r w:rsidR="00502241" w:rsidRPr="00B2525C">
        <w:rPr>
          <w:rFonts w:cs="Arial"/>
        </w:rPr>
        <w:t>average</w:t>
      </w:r>
      <w:r w:rsidRPr="00B2525C">
        <w:rPr>
          <w:rFonts w:cs="Arial"/>
        </w:rPr>
        <w:t xml:space="preserve"> (19.2</w:t>
      </w:r>
      <w:r w:rsidR="0017290D" w:rsidRPr="00B2525C">
        <w:rPr>
          <w:rFonts w:cs="Arial"/>
        </w:rPr>
        <w:t>per cent</w:t>
      </w:r>
      <w:r w:rsidRPr="00B2525C">
        <w:rPr>
          <w:rFonts w:cs="Arial"/>
        </w:rPr>
        <w:t>)</w:t>
      </w:r>
    </w:p>
    <w:p w14:paraId="4BBB21F0" w14:textId="15FA56EB" w:rsidR="00247FA3" w:rsidRDefault="00247FA3" w:rsidP="00247FA3">
      <w:pPr>
        <w:rPr>
          <w:rFonts w:cs="Arial"/>
        </w:rPr>
      </w:pPr>
    </w:p>
    <w:p w14:paraId="6511DB83" w14:textId="31291B2F" w:rsidR="001F1E87" w:rsidRPr="00B2525C" w:rsidRDefault="001F1E87" w:rsidP="00247FA3">
      <w:pPr>
        <w:rPr>
          <w:rFonts w:cs="Arial"/>
        </w:rPr>
      </w:pPr>
      <w:r w:rsidRPr="001F1E87">
        <w:rPr>
          <w:rFonts w:cs="Arial"/>
          <w:b/>
        </w:rPr>
        <w:t>Figure</w:t>
      </w:r>
      <w:r w:rsidR="00DF5BA3">
        <w:rPr>
          <w:rFonts w:cs="Arial"/>
          <w:b/>
        </w:rPr>
        <w:t xml:space="preserve"> </w:t>
      </w:r>
      <w:r w:rsidR="00B93B84">
        <w:rPr>
          <w:rFonts w:cs="Arial"/>
          <w:b/>
        </w:rPr>
        <w:t xml:space="preserve">42. </w:t>
      </w:r>
      <w:r w:rsidRPr="001F1E87">
        <w:rPr>
          <w:rFonts w:cs="Arial"/>
        </w:rPr>
        <w:t>Per cent of population who volunteer with an organisation or group</w:t>
      </w:r>
    </w:p>
    <w:p w14:paraId="791F1CEF" w14:textId="77777777" w:rsidR="00247FA3" w:rsidRPr="00B2525C" w:rsidRDefault="00883B79" w:rsidP="00FC78B9">
      <w:pPr>
        <w:rPr>
          <w:rFonts w:cs="Arial"/>
        </w:rPr>
      </w:pPr>
      <w:r w:rsidRPr="00B2525C">
        <w:rPr>
          <w:rFonts w:cs="Arial"/>
          <w:noProof/>
        </w:rPr>
        <w:drawing>
          <wp:inline distT="0" distB="0" distL="0" distR="0" wp14:anchorId="25CB51FD" wp14:editId="04152FEE">
            <wp:extent cx="5875655" cy="2122999"/>
            <wp:effectExtent l="0" t="0" r="10795" b="10795"/>
            <wp:docPr id="246" name="Chart 246">
              <a:extLst xmlns:a="http://schemas.openxmlformats.org/drawingml/2006/main">
                <a:ext uri="{FF2B5EF4-FFF2-40B4-BE49-F238E27FC236}">
                  <a16:creationId xmlns:a16="http://schemas.microsoft.com/office/drawing/2014/main" id="{62874CC6-0C4A-4C75-B2E9-479857E23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9A5EFB1" w14:textId="77777777" w:rsidR="00883B79" w:rsidRPr="00B2525C" w:rsidRDefault="00883B79" w:rsidP="00883B79">
      <w:pPr>
        <w:pStyle w:val="Caption"/>
        <w:rPr>
          <w:rFonts w:cs="Arial"/>
        </w:rPr>
      </w:pPr>
      <w:bookmarkStart w:id="39" w:name="_bookmark19"/>
      <w:bookmarkEnd w:id="39"/>
      <w:r w:rsidRPr="00B2525C">
        <w:rPr>
          <w:rFonts w:cs="Arial"/>
        </w:rPr>
        <w:t>Source: Census data, 2016 compiled by REMPLAN</w:t>
      </w:r>
    </w:p>
    <w:p w14:paraId="2DE91E50" w14:textId="77777777" w:rsidR="00FC78B9" w:rsidRPr="00B2525C" w:rsidRDefault="00FC78B9" w:rsidP="00FC78B9">
      <w:pPr>
        <w:rPr>
          <w:rFonts w:cs="Arial"/>
          <w:color w:val="7030A0"/>
        </w:rPr>
      </w:pPr>
    </w:p>
    <w:p w14:paraId="633CA1B3" w14:textId="77777777" w:rsidR="00E010BE" w:rsidRPr="00B2525C" w:rsidRDefault="00974B62" w:rsidP="005D1E16">
      <w:pPr>
        <w:pStyle w:val="Heading3"/>
        <w:rPr>
          <w:rFonts w:cs="Arial"/>
        </w:rPr>
      </w:pPr>
      <w:r w:rsidRPr="00B2525C">
        <w:rPr>
          <w:rFonts w:cs="Arial"/>
        </w:rPr>
        <w:t>D</w:t>
      </w:r>
      <w:r w:rsidR="00E010BE" w:rsidRPr="00B2525C">
        <w:rPr>
          <w:rFonts w:cs="Arial"/>
        </w:rPr>
        <w:t>igital inclusion</w:t>
      </w:r>
    </w:p>
    <w:p w14:paraId="2D7C42F0" w14:textId="27523418" w:rsidR="001F1E87" w:rsidRDefault="00974B62" w:rsidP="00632BCC">
      <w:pPr>
        <w:rPr>
          <w:rFonts w:cs="Arial"/>
        </w:rPr>
      </w:pPr>
      <w:r w:rsidRPr="00B2525C">
        <w:rPr>
          <w:rFonts w:cs="Arial"/>
        </w:rPr>
        <w:t xml:space="preserve">Information about what is happening in the world can be gained through internet access. The ABS </w:t>
      </w:r>
      <w:proofErr w:type="gramStart"/>
      <w:r w:rsidRPr="00B2525C">
        <w:rPr>
          <w:rFonts w:cs="Arial"/>
        </w:rPr>
        <w:t>defines</w:t>
      </w:r>
      <w:proofErr w:type="gramEnd"/>
      <w:r w:rsidRPr="00B2525C">
        <w:rPr>
          <w:rFonts w:cs="Arial"/>
        </w:rPr>
        <w:t xml:space="preserve"> </w:t>
      </w:r>
      <w:r w:rsidR="00502241" w:rsidRPr="00B2525C">
        <w:rPr>
          <w:rFonts w:cs="Arial"/>
        </w:rPr>
        <w:t>i</w:t>
      </w:r>
      <w:r w:rsidR="004D2EAA" w:rsidRPr="00B2525C">
        <w:rPr>
          <w:rFonts w:cs="Arial"/>
        </w:rPr>
        <w:t xml:space="preserve">nternet access </w:t>
      </w:r>
      <w:r w:rsidR="00502241" w:rsidRPr="00B2525C">
        <w:rPr>
          <w:rFonts w:cs="Arial"/>
        </w:rPr>
        <w:t>through</w:t>
      </w:r>
      <w:r w:rsidR="004D2EAA" w:rsidRPr="00B2525C">
        <w:rPr>
          <w:rFonts w:cs="Arial"/>
        </w:rPr>
        <w:t xml:space="preserve"> using desktop/laptop computers, mobile or smart phones, tablets, music or video players, gaming consoles, smart TVs, and includes Internet access through any type of connection including ADSL, fibre, wireless, satellite and mobile broadband (3G/4G)</w:t>
      </w:r>
      <w:r w:rsidR="0029000B" w:rsidRPr="00B2525C">
        <w:rPr>
          <w:rFonts w:cs="Arial"/>
        </w:rPr>
        <w:t xml:space="preserve">. </w:t>
      </w:r>
      <w:r w:rsidR="00425345" w:rsidRPr="00B2525C">
        <w:rPr>
          <w:rFonts w:cs="Arial"/>
        </w:rPr>
        <w:t xml:space="preserve">In 2016, </w:t>
      </w:r>
      <w:r w:rsidRPr="00B2525C">
        <w:rPr>
          <w:rFonts w:cs="Arial"/>
        </w:rPr>
        <w:t>21.8</w:t>
      </w:r>
      <w:r w:rsidR="00580686">
        <w:rPr>
          <w:rFonts w:cs="Arial"/>
        </w:rPr>
        <w:t xml:space="preserve"> pe cent</w:t>
      </w:r>
      <w:r w:rsidRPr="00B2525C">
        <w:rPr>
          <w:rFonts w:cs="Arial"/>
        </w:rPr>
        <w:t xml:space="preserve"> of Moonee Valley household were without internet access; and this was more pronounced among older adults. For </w:t>
      </w:r>
      <w:proofErr w:type="gramStart"/>
      <w:r w:rsidRPr="00B2525C">
        <w:rPr>
          <w:rFonts w:cs="Arial"/>
        </w:rPr>
        <w:t>example</w:t>
      </w:r>
      <w:proofErr w:type="gramEnd"/>
      <w:r w:rsidRPr="00B2525C">
        <w:rPr>
          <w:rFonts w:cs="Arial"/>
        </w:rPr>
        <w:t xml:space="preserve"> 64.8</w:t>
      </w:r>
      <w:r w:rsidR="00580686">
        <w:rPr>
          <w:rFonts w:cs="Arial"/>
        </w:rPr>
        <w:t xml:space="preserve"> per cent</w:t>
      </w:r>
      <w:r w:rsidRPr="00B2525C">
        <w:rPr>
          <w:rFonts w:cs="Arial"/>
        </w:rPr>
        <w:t xml:space="preserve"> of people aged over </w:t>
      </w:r>
      <w:r w:rsidR="005D1E16" w:rsidRPr="00B2525C">
        <w:rPr>
          <w:rFonts w:cs="Arial"/>
        </w:rPr>
        <w:t>do not have internet access.</w:t>
      </w:r>
    </w:p>
    <w:p w14:paraId="673A1557" w14:textId="3FE5343C" w:rsidR="00C212F9" w:rsidRPr="00B2525C" w:rsidRDefault="001F1E87" w:rsidP="00632BCC">
      <w:pPr>
        <w:rPr>
          <w:rFonts w:cs="Arial"/>
        </w:rPr>
      </w:pPr>
      <w:r w:rsidRPr="001F1E87">
        <w:rPr>
          <w:rFonts w:cs="Arial"/>
          <w:b/>
        </w:rPr>
        <w:t>Figure</w:t>
      </w:r>
      <w:r w:rsidR="00DF5BA3">
        <w:rPr>
          <w:rFonts w:cs="Arial"/>
          <w:b/>
        </w:rPr>
        <w:t xml:space="preserve"> </w:t>
      </w:r>
      <w:r w:rsidR="00B93B84">
        <w:rPr>
          <w:rFonts w:cs="Arial"/>
          <w:b/>
        </w:rPr>
        <w:t xml:space="preserve">43. </w:t>
      </w:r>
      <w:r>
        <w:rPr>
          <w:rFonts w:cs="Arial"/>
        </w:rPr>
        <w:t>Digital inclusion</w:t>
      </w:r>
    </w:p>
    <w:p w14:paraId="3A519BD3" w14:textId="77777777" w:rsidR="00E010BE" w:rsidRPr="00B2525C" w:rsidRDefault="00E010BE" w:rsidP="00C212F9">
      <w:pPr>
        <w:jc w:val="center"/>
        <w:rPr>
          <w:rFonts w:cs="Arial"/>
        </w:rPr>
      </w:pPr>
      <w:r w:rsidRPr="00B2525C">
        <w:rPr>
          <w:rFonts w:cs="Arial"/>
          <w:noProof/>
          <w:lang w:eastAsia="en-AU"/>
        </w:rPr>
        <w:drawing>
          <wp:inline distT="0" distB="0" distL="0" distR="0" wp14:anchorId="3BDC68D8" wp14:editId="6F6E5BE2">
            <wp:extent cx="6227340" cy="2044700"/>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70826" cy="2091813"/>
                    </a:xfrm>
                    <a:prstGeom prst="rect">
                      <a:avLst/>
                    </a:prstGeom>
                    <a:noFill/>
                  </pic:spPr>
                </pic:pic>
              </a:graphicData>
            </a:graphic>
          </wp:inline>
        </w:drawing>
      </w:r>
    </w:p>
    <w:p w14:paraId="67D3B2BC" w14:textId="77777777" w:rsidR="00ED4559" w:rsidRPr="00C212F9" w:rsidRDefault="00ED4559" w:rsidP="00632BCC">
      <w:pPr>
        <w:rPr>
          <w:rFonts w:cs="Arial"/>
          <w:i/>
          <w:sz w:val="20"/>
          <w:szCs w:val="20"/>
        </w:rPr>
      </w:pPr>
      <w:r w:rsidRPr="00C212F9">
        <w:rPr>
          <w:rFonts w:cs="Arial"/>
          <w:i/>
          <w:sz w:val="20"/>
          <w:szCs w:val="20"/>
        </w:rPr>
        <w:t>Source: 2016 census</w:t>
      </w:r>
    </w:p>
    <w:p w14:paraId="3F7CC245" w14:textId="77777777" w:rsidR="00FC78B9" w:rsidRPr="00B2525C" w:rsidRDefault="00FC78B9" w:rsidP="00FC78B9">
      <w:pPr>
        <w:pStyle w:val="Heading3"/>
        <w:rPr>
          <w:rFonts w:cs="Arial"/>
        </w:rPr>
      </w:pPr>
      <w:r w:rsidRPr="00B2525C">
        <w:rPr>
          <w:rFonts w:cs="Arial"/>
        </w:rPr>
        <w:lastRenderedPageBreak/>
        <w:t>Family violence</w:t>
      </w:r>
    </w:p>
    <w:p w14:paraId="3035A117" w14:textId="165AABB9" w:rsidR="00FC78B9" w:rsidRPr="00B2525C" w:rsidRDefault="004B65E2" w:rsidP="00ED4559">
      <w:pPr>
        <w:rPr>
          <w:rFonts w:cs="Arial"/>
        </w:rPr>
      </w:pPr>
      <w:r w:rsidRPr="00B2525C">
        <w:rPr>
          <w:rFonts w:cs="Arial"/>
        </w:rPr>
        <w:t xml:space="preserve">Although social connections are important for health and </w:t>
      </w:r>
      <w:r w:rsidR="00B41387" w:rsidRPr="00B2525C">
        <w:rPr>
          <w:rFonts w:cs="Arial"/>
        </w:rPr>
        <w:t>wellbeing</w:t>
      </w:r>
      <w:r w:rsidR="00DF5BA3">
        <w:rPr>
          <w:rFonts w:cs="Arial"/>
        </w:rPr>
        <w:t>,</w:t>
      </w:r>
      <w:r w:rsidRPr="00B2525C">
        <w:rPr>
          <w:rFonts w:cs="Arial"/>
        </w:rPr>
        <w:t xml:space="preserve"> there are instances where this is not the case. Research has found that </w:t>
      </w:r>
      <w:r w:rsidR="00DF5BA3">
        <w:rPr>
          <w:rFonts w:cs="Arial"/>
        </w:rPr>
        <w:t xml:space="preserve">it </w:t>
      </w:r>
      <w:r w:rsidRPr="00B2525C">
        <w:rPr>
          <w:rFonts w:cs="Arial"/>
        </w:rPr>
        <w:t xml:space="preserve">is the quality of </w:t>
      </w:r>
      <w:r w:rsidR="00B41387" w:rsidRPr="00B2525C">
        <w:rPr>
          <w:rFonts w:cs="Arial"/>
        </w:rPr>
        <w:t>relationships</w:t>
      </w:r>
      <w:r w:rsidRPr="00B2525C">
        <w:rPr>
          <w:rFonts w:cs="Arial"/>
        </w:rPr>
        <w:t xml:space="preserve"> that matter</w:t>
      </w:r>
      <w:r w:rsidR="006371F1">
        <w:rPr>
          <w:rFonts w:cs="Arial"/>
        </w:rPr>
        <w:t xml:space="preserve"> </w:t>
      </w:r>
      <w:r w:rsidR="00502241" w:rsidRPr="00B2525C">
        <w:rPr>
          <w:rFonts w:cs="Arial"/>
        </w:rPr>
        <w:t xml:space="preserve">- </w:t>
      </w:r>
      <w:r w:rsidRPr="00B2525C">
        <w:rPr>
          <w:rFonts w:cs="Arial"/>
        </w:rPr>
        <w:t xml:space="preserve">more than the </w:t>
      </w:r>
      <w:r w:rsidR="00B41387" w:rsidRPr="00B2525C">
        <w:rPr>
          <w:rFonts w:cs="Arial"/>
        </w:rPr>
        <w:t xml:space="preserve">number </w:t>
      </w:r>
      <w:r w:rsidRPr="00B2525C">
        <w:rPr>
          <w:rFonts w:cs="Arial"/>
        </w:rPr>
        <w:t>of people you know</w:t>
      </w:r>
      <w:r w:rsidR="00B41387" w:rsidRPr="00B2525C">
        <w:rPr>
          <w:rFonts w:cs="Arial"/>
        </w:rPr>
        <w:t xml:space="preserve"> </w:t>
      </w:r>
      <w:r w:rsidR="005D1E16" w:rsidRPr="00B2525C">
        <w:rPr>
          <w:rFonts w:cs="Arial"/>
        </w:rPr>
        <w:t>(Lim, Holt-</w:t>
      </w:r>
      <w:proofErr w:type="spellStart"/>
      <w:r w:rsidR="005D1E16" w:rsidRPr="00B2525C">
        <w:rPr>
          <w:rFonts w:cs="Arial"/>
        </w:rPr>
        <w:t>Lunstad</w:t>
      </w:r>
      <w:proofErr w:type="spellEnd"/>
      <w:r w:rsidR="005D1E16" w:rsidRPr="00B2525C">
        <w:rPr>
          <w:rFonts w:cs="Arial"/>
        </w:rPr>
        <w:t>, &amp; Badcock, 2020)</w:t>
      </w:r>
      <w:r w:rsidRPr="00B2525C">
        <w:rPr>
          <w:rFonts w:cs="Arial"/>
        </w:rPr>
        <w:t xml:space="preserve">. Toxic </w:t>
      </w:r>
      <w:r w:rsidR="00B41387" w:rsidRPr="00B2525C">
        <w:rPr>
          <w:rFonts w:cs="Arial"/>
        </w:rPr>
        <w:t xml:space="preserve">relationships </w:t>
      </w:r>
      <w:r w:rsidR="00580686">
        <w:rPr>
          <w:rFonts w:cs="Arial"/>
        </w:rPr>
        <w:t xml:space="preserve">experienced by those at risk of </w:t>
      </w:r>
      <w:r w:rsidR="00B41387" w:rsidRPr="00B2525C">
        <w:rPr>
          <w:rFonts w:cs="Arial"/>
        </w:rPr>
        <w:t xml:space="preserve">family violence </w:t>
      </w:r>
      <w:r w:rsidR="00580686">
        <w:rPr>
          <w:rFonts w:cs="Arial"/>
        </w:rPr>
        <w:t>are</w:t>
      </w:r>
      <w:r w:rsidR="00B41387" w:rsidRPr="00B2525C">
        <w:rPr>
          <w:rFonts w:cs="Arial"/>
        </w:rPr>
        <w:t xml:space="preserve"> harmful for health. </w:t>
      </w:r>
      <w:r w:rsidR="00FC78B9" w:rsidRPr="00B2525C">
        <w:rPr>
          <w:rFonts w:cs="Arial"/>
        </w:rPr>
        <w:t>Family violence refers to violence between family members, including current or former intimate partners. While family violence can affect anyone, it is overwhelmingly experienced by women and children</w:t>
      </w:r>
      <w:r w:rsidR="005C7DBB" w:rsidRPr="00B2525C">
        <w:rPr>
          <w:rFonts w:cs="Arial"/>
        </w:rPr>
        <w:t xml:space="preserve"> (Victorian Government, 2019)</w:t>
      </w:r>
      <w:r w:rsidR="00FC78B9" w:rsidRPr="00B2525C">
        <w:rPr>
          <w:rFonts w:cs="Arial"/>
        </w:rPr>
        <w:t xml:space="preserve">. One Australian woman </w:t>
      </w:r>
      <w:r w:rsidR="00502241" w:rsidRPr="00B2525C">
        <w:rPr>
          <w:rFonts w:cs="Arial"/>
        </w:rPr>
        <w:t xml:space="preserve">is </w:t>
      </w:r>
      <w:r w:rsidR="00FC78B9" w:rsidRPr="00B2525C">
        <w:rPr>
          <w:rFonts w:cs="Arial"/>
        </w:rPr>
        <w:t>murdered every week by her current or former partner</w:t>
      </w:r>
      <w:r w:rsidR="00F739F6">
        <w:rPr>
          <w:rFonts w:cs="Arial"/>
        </w:rPr>
        <w:t>,</w:t>
      </w:r>
      <w:r w:rsidR="005C7DBB" w:rsidRPr="00B2525C">
        <w:rPr>
          <w:rFonts w:cs="Arial"/>
        </w:rPr>
        <w:t xml:space="preserve"> </w:t>
      </w:r>
      <w:r w:rsidR="00FC78B9" w:rsidRPr="00B2525C">
        <w:rPr>
          <w:rFonts w:cs="Arial"/>
        </w:rPr>
        <w:t>and nearly one in five women report being subjected to violence at some time in their adult lives</w:t>
      </w:r>
      <w:r w:rsidR="005C7DBB" w:rsidRPr="00B2525C">
        <w:rPr>
          <w:rFonts w:cs="Arial"/>
        </w:rPr>
        <w:t xml:space="preserve"> (VicHealth, 2014)</w:t>
      </w:r>
      <w:r w:rsidR="00FC78B9" w:rsidRPr="00B2525C">
        <w:rPr>
          <w:rFonts w:cs="Arial"/>
        </w:rPr>
        <w:t xml:space="preserve">. </w:t>
      </w:r>
      <w:r w:rsidR="00F739F6">
        <w:rPr>
          <w:rFonts w:cs="Arial"/>
        </w:rPr>
        <w:t>Family violence</w:t>
      </w:r>
      <w:r w:rsidR="001B4FBB" w:rsidRPr="00B2525C">
        <w:rPr>
          <w:rFonts w:cs="Arial"/>
        </w:rPr>
        <w:t xml:space="preserve"> is the leading</w:t>
      </w:r>
      <w:r w:rsidR="00ED4559" w:rsidRPr="00B2525C">
        <w:rPr>
          <w:rFonts w:cs="Arial"/>
        </w:rPr>
        <w:t xml:space="preserve"> </w:t>
      </w:r>
      <w:r w:rsidR="001B4FBB" w:rsidRPr="00B2525C">
        <w:rPr>
          <w:rFonts w:cs="Arial"/>
        </w:rPr>
        <w:t>cause of death and disability in women aged 15-45 years and is the biggest contributor to women's ill-health</w:t>
      </w:r>
      <w:r w:rsidR="00DF5BA3">
        <w:rPr>
          <w:rFonts w:cs="Arial"/>
        </w:rPr>
        <w:t>,</w:t>
      </w:r>
      <w:r w:rsidR="001B4FBB" w:rsidRPr="00B2525C">
        <w:rPr>
          <w:rFonts w:cs="Arial"/>
        </w:rPr>
        <w:t xml:space="preserve"> including</w:t>
      </w:r>
      <w:r w:rsidR="00ED4559" w:rsidRPr="00B2525C">
        <w:rPr>
          <w:rFonts w:cs="Arial"/>
        </w:rPr>
        <w:t xml:space="preserve"> </w:t>
      </w:r>
      <w:r w:rsidR="001B4FBB" w:rsidRPr="00B2525C">
        <w:rPr>
          <w:rFonts w:cs="Arial"/>
        </w:rPr>
        <w:t>poor mental health. Family violence is the single largest driver of homelessness for women, a</w:t>
      </w:r>
      <w:r w:rsidR="00E53C9B" w:rsidRPr="00B2525C">
        <w:rPr>
          <w:rFonts w:cs="Arial"/>
        </w:rPr>
        <w:t>nd a</w:t>
      </w:r>
      <w:r w:rsidR="001B4FBB" w:rsidRPr="00B2525C">
        <w:rPr>
          <w:rFonts w:cs="Arial"/>
        </w:rPr>
        <w:t xml:space="preserve"> common factor in child</w:t>
      </w:r>
      <w:r w:rsidR="00ED4559" w:rsidRPr="00B2525C">
        <w:rPr>
          <w:rFonts w:cs="Arial"/>
        </w:rPr>
        <w:t xml:space="preserve"> </w:t>
      </w:r>
      <w:r w:rsidR="001B4FBB" w:rsidRPr="00B2525C">
        <w:rPr>
          <w:rFonts w:cs="Arial"/>
        </w:rPr>
        <w:t>protection notifications</w:t>
      </w:r>
      <w:r w:rsidR="00E53C9B" w:rsidRPr="00B2525C">
        <w:rPr>
          <w:rFonts w:cs="Arial"/>
        </w:rPr>
        <w:t xml:space="preserve"> </w:t>
      </w:r>
      <w:r w:rsidR="001B4FBB" w:rsidRPr="00B2525C">
        <w:rPr>
          <w:rFonts w:cs="Arial"/>
        </w:rPr>
        <w:t>(</w:t>
      </w:r>
      <w:r w:rsidR="005C7DBB" w:rsidRPr="00B2525C">
        <w:rPr>
          <w:rFonts w:cs="Arial"/>
        </w:rPr>
        <w:t>Women’s</w:t>
      </w:r>
      <w:r w:rsidR="001B4FBB" w:rsidRPr="00B2525C">
        <w:rPr>
          <w:rFonts w:cs="Arial"/>
        </w:rPr>
        <w:t xml:space="preserve"> </w:t>
      </w:r>
      <w:r w:rsidR="005C7DBB" w:rsidRPr="00B2525C">
        <w:rPr>
          <w:rFonts w:cs="Arial"/>
        </w:rPr>
        <w:t>H</w:t>
      </w:r>
      <w:r w:rsidR="001B4FBB" w:rsidRPr="00B2525C">
        <w:rPr>
          <w:rFonts w:cs="Arial"/>
        </w:rPr>
        <w:t>ealth</w:t>
      </w:r>
      <w:r w:rsidR="005C7DBB" w:rsidRPr="00B2525C">
        <w:rPr>
          <w:rFonts w:cs="Arial"/>
        </w:rPr>
        <w:t xml:space="preserve"> West, 2021).</w:t>
      </w:r>
    </w:p>
    <w:p w14:paraId="1471C8E6" w14:textId="77777777" w:rsidR="0089704E" w:rsidRPr="00B2525C" w:rsidRDefault="0089704E" w:rsidP="00BE2883">
      <w:pPr>
        <w:pStyle w:val="BodyText"/>
      </w:pPr>
    </w:p>
    <w:p w14:paraId="6C34D55A" w14:textId="12229829" w:rsidR="00FC78B9" w:rsidRPr="00B2525C" w:rsidRDefault="00FC78B9" w:rsidP="00F739F6">
      <w:r w:rsidRPr="00B2525C">
        <w:t>Domestic violence is a subset of family violence, which refers to violent behaviour between current or former intimate partners</w:t>
      </w:r>
      <w:r w:rsidR="0089704E" w:rsidRPr="00B2525C">
        <w:t xml:space="preserve"> and</w:t>
      </w:r>
      <w:r w:rsidRPr="00B2525C">
        <w:t xml:space="preserve"> includes physical, sexual, </w:t>
      </w:r>
      <w:r w:rsidR="00A97269">
        <w:t xml:space="preserve">financial, </w:t>
      </w:r>
      <w:r w:rsidRPr="00B2525C">
        <w:t>emotional or psychological abuse and coercive control</w:t>
      </w:r>
      <w:r w:rsidR="005C7DBB" w:rsidRPr="00B2525C">
        <w:t xml:space="preserve"> (AIHW, 2018)</w:t>
      </w:r>
      <w:r w:rsidRPr="00B2525C">
        <w:t>. Elder abuse is a form of family or domestic violence that is experienced by older people. Like family violence, elder</w:t>
      </w:r>
      <w:r w:rsidR="0089704E" w:rsidRPr="00B2525C">
        <w:t xml:space="preserve"> </w:t>
      </w:r>
      <w:r w:rsidRPr="00B2525C">
        <w:t xml:space="preserve">abuse is about having power and control over another person. </w:t>
      </w:r>
      <w:r w:rsidR="0089704E" w:rsidRPr="00B2525C">
        <w:t>Elder abuse is</w:t>
      </w:r>
      <w:r w:rsidRPr="00B2525C">
        <w:t xml:space="preserve"> defined as “any action, or deliberate inaction, by a person in a position of trust which causes harm to an older person”</w:t>
      </w:r>
      <w:r w:rsidR="00502241" w:rsidRPr="00B2525C">
        <w:t>.</w:t>
      </w:r>
      <w:r w:rsidRPr="00B2525C">
        <w:t xml:space="preserve"> </w:t>
      </w:r>
      <w:r w:rsidR="0089704E" w:rsidRPr="00B2525C">
        <w:t>Most commonly i</w:t>
      </w:r>
      <w:r w:rsidRPr="00B2525C">
        <w:t>t involves physical, sexual, psychological, emotional and financial abuse, and neglect</w:t>
      </w:r>
      <w:r w:rsidR="005C7DBB" w:rsidRPr="00B2525C">
        <w:t xml:space="preserve"> (Domestic Violence Resource Centre Victoria, 2020)</w:t>
      </w:r>
      <w:r w:rsidR="00E53C9B" w:rsidRPr="00B2525C">
        <w:t xml:space="preserve">. </w:t>
      </w:r>
      <w:r w:rsidRPr="00B2525C">
        <w:t>In Australia, it is estimated</w:t>
      </w:r>
      <w:r w:rsidR="00502241" w:rsidRPr="00B2525C">
        <w:t xml:space="preserve"> that</w:t>
      </w:r>
      <w:r w:rsidRPr="00B2525C">
        <w:t xml:space="preserve"> </w:t>
      </w:r>
      <w:r w:rsidR="0089704E" w:rsidRPr="00B2525C">
        <w:t>elder abuse</w:t>
      </w:r>
      <w:r w:rsidRPr="00B2525C">
        <w:t xml:space="preserve"> is experienced by 2-6 per cent of older people</w:t>
      </w:r>
      <w:r w:rsidR="005C7DBB" w:rsidRPr="00B2525C">
        <w:t xml:space="preserve"> (National Ageing Research Institute, 2015)</w:t>
      </w:r>
      <w:r w:rsidRPr="00B2525C">
        <w:t>.</w:t>
      </w:r>
    </w:p>
    <w:p w14:paraId="41E9C792" w14:textId="77777777" w:rsidR="00FC78B9" w:rsidRPr="00B2525C" w:rsidRDefault="00FC78B9" w:rsidP="00E53C9B">
      <w:pPr>
        <w:rPr>
          <w:rFonts w:cs="Arial"/>
        </w:rPr>
      </w:pPr>
    </w:p>
    <w:p w14:paraId="4099F8D7" w14:textId="4A6B8D85" w:rsidR="00FC78B9" w:rsidRDefault="0089704E" w:rsidP="00E06B84">
      <w:pPr>
        <w:rPr>
          <w:rFonts w:cs="Arial"/>
        </w:rPr>
      </w:pPr>
      <w:r w:rsidRPr="00B2525C">
        <w:rPr>
          <w:rFonts w:cs="Arial"/>
        </w:rPr>
        <w:t>Data from the Crime Statistics Agency shows that family violence rates in Moonee Valley are lower when compared with the municipalities in the North West Metro region</w:t>
      </w:r>
      <w:r w:rsidR="00E53C9B" w:rsidRPr="00B2525C">
        <w:rPr>
          <w:rFonts w:cs="Arial"/>
        </w:rPr>
        <w:t>, however there has been an increase in incidents of 3.1</w:t>
      </w:r>
      <w:r w:rsidR="00580686">
        <w:rPr>
          <w:rFonts w:cs="Arial"/>
        </w:rPr>
        <w:t xml:space="preserve"> per cent</w:t>
      </w:r>
      <w:r w:rsidR="00E53C9B" w:rsidRPr="00B2525C">
        <w:rPr>
          <w:rFonts w:cs="Arial"/>
        </w:rPr>
        <w:t xml:space="preserve"> from 2020 to 2021</w:t>
      </w:r>
      <w:r w:rsidRPr="00B2525C">
        <w:rPr>
          <w:rFonts w:cs="Arial"/>
        </w:rPr>
        <w:t xml:space="preserve">. </w:t>
      </w:r>
      <w:r w:rsidR="00E53C9B" w:rsidRPr="00B2525C">
        <w:rPr>
          <w:rFonts w:cs="Arial"/>
        </w:rPr>
        <w:t xml:space="preserve"> </w:t>
      </w:r>
      <w:r w:rsidR="00FC78B9" w:rsidRPr="00B2525C">
        <w:rPr>
          <w:rFonts w:cs="Arial"/>
        </w:rPr>
        <w:t xml:space="preserve">Ascot Vale, Essendon and Flemington had the three highest recorded incidences of Family Violence </w:t>
      </w:r>
      <w:r w:rsidR="00E53C9B" w:rsidRPr="00B2525C">
        <w:rPr>
          <w:rFonts w:cs="Arial"/>
        </w:rPr>
        <w:t xml:space="preserve">in </w:t>
      </w:r>
      <w:r w:rsidR="00FC78B9" w:rsidRPr="00B2525C">
        <w:rPr>
          <w:rFonts w:cs="Arial"/>
        </w:rPr>
        <w:t>2018.</w:t>
      </w:r>
    </w:p>
    <w:p w14:paraId="6DEC30E9" w14:textId="77777777" w:rsidR="00C212F9" w:rsidRDefault="00C212F9" w:rsidP="00E06B84">
      <w:pPr>
        <w:rPr>
          <w:rFonts w:cs="Arial"/>
        </w:rPr>
      </w:pPr>
    </w:p>
    <w:p w14:paraId="191D4E90" w14:textId="0A25F956" w:rsidR="001F1E87" w:rsidRPr="00B2525C" w:rsidRDefault="001F1E87" w:rsidP="00E06B84">
      <w:pPr>
        <w:rPr>
          <w:rFonts w:cs="Arial"/>
        </w:rPr>
      </w:pPr>
      <w:r w:rsidRPr="001F1E87">
        <w:rPr>
          <w:rFonts w:cs="Arial"/>
          <w:b/>
        </w:rPr>
        <w:t>Figure</w:t>
      </w:r>
      <w:r w:rsidR="00B93B84">
        <w:rPr>
          <w:rFonts w:cs="Arial"/>
          <w:b/>
        </w:rPr>
        <w:t xml:space="preserve"> 44</w:t>
      </w:r>
      <w:r w:rsidR="00B93B84">
        <w:rPr>
          <w:rFonts w:cs="Arial"/>
        </w:rPr>
        <w:t xml:space="preserve">. </w:t>
      </w:r>
      <w:r>
        <w:rPr>
          <w:rFonts w:cs="Arial"/>
        </w:rPr>
        <w:t>Family violence incidents</w:t>
      </w:r>
    </w:p>
    <w:p w14:paraId="145B9DCB" w14:textId="77777777" w:rsidR="00FC78B9" w:rsidRPr="00B2525C" w:rsidRDefault="001B4FBB" w:rsidP="00FC78B9">
      <w:pPr>
        <w:rPr>
          <w:rFonts w:cs="Arial"/>
        </w:rPr>
      </w:pPr>
      <w:r w:rsidRPr="00B2525C">
        <w:rPr>
          <w:rFonts w:cs="Arial"/>
          <w:noProof/>
        </w:rPr>
        <w:drawing>
          <wp:inline distT="0" distB="0" distL="0" distR="0" wp14:anchorId="02A5BD20" wp14:editId="2B551A64">
            <wp:extent cx="5873750" cy="1937441"/>
            <wp:effectExtent l="0" t="0" r="0" b="5715"/>
            <wp:docPr id="230" name="Picture 2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Ic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54202" cy="1963978"/>
                    </a:xfrm>
                    <a:prstGeom prst="rect">
                      <a:avLst/>
                    </a:prstGeom>
                  </pic:spPr>
                </pic:pic>
              </a:graphicData>
            </a:graphic>
          </wp:inline>
        </w:drawing>
      </w:r>
    </w:p>
    <w:p w14:paraId="19C1200F" w14:textId="77777777" w:rsidR="00FC78B9" w:rsidRPr="00C212F9" w:rsidRDefault="001B4FBB" w:rsidP="00FC78B9">
      <w:pPr>
        <w:rPr>
          <w:rStyle w:val="Hyperlink"/>
          <w:rFonts w:cs="Arial"/>
          <w:i/>
          <w:color w:val="auto"/>
          <w:sz w:val="18"/>
          <w:szCs w:val="18"/>
        </w:rPr>
      </w:pPr>
      <w:r w:rsidRPr="00C212F9">
        <w:rPr>
          <w:rFonts w:cs="Arial"/>
          <w:i/>
          <w:sz w:val="18"/>
          <w:szCs w:val="18"/>
        </w:rPr>
        <w:t xml:space="preserve">source: </w:t>
      </w:r>
      <w:hyperlink r:id="rId73" w:history="1">
        <w:r w:rsidRPr="00C212F9">
          <w:rPr>
            <w:rStyle w:val="Hyperlink"/>
            <w:rFonts w:cs="Arial"/>
            <w:i/>
            <w:color w:val="auto"/>
            <w:sz w:val="18"/>
            <w:szCs w:val="18"/>
          </w:rPr>
          <w:t>Latest crime data by area | Crime Statistics Agency Victoria</w:t>
        </w:r>
      </w:hyperlink>
      <w:r w:rsidR="00DA4C07" w:rsidRPr="00C212F9">
        <w:rPr>
          <w:rFonts w:cs="Arial"/>
          <w:i/>
          <w:sz w:val="18"/>
          <w:szCs w:val="18"/>
        </w:rPr>
        <w:t xml:space="preserve"> (Year ending March 2021)</w:t>
      </w:r>
    </w:p>
    <w:p w14:paraId="29DC669D" w14:textId="77777777" w:rsidR="00FC78B9" w:rsidRPr="00B2525C" w:rsidRDefault="00FC78B9" w:rsidP="00FC78B9">
      <w:pPr>
        <w:pStyle w:val="Heading3"/>
        <w:rPr>
          <w:rFonts w:cs="Arial"/>
        </w:rPr>
      </w:pPr>
      <w:r w:rsidRPr="00B2525C">
        <w:rPr>
          <w:rFonts w:cs="Arial"/>
        </w:rPr>
        <w:lastRenderedPageBreak/>
        <w:t xml:space="preserve">Community </w:t>
      </w:r>
      <w:r w:rsidR="002A53F6" w:rsidRPr="00B2525C">
        <w:rPr>
          <w:rFonts w:cs="Arial"/>
        </w:rPr>
        <w:t>s</w:t>
      </w:r>
      <w:r w:rsidRPr="00B2525C">
        <w:rPr>
          <w:rFonts w:cs="Arial"/>
        </w:rPr>
        <w:t xml:space="preserve">afety </w:t>
      </w:r>
    </w:p>
    <w:p w14:paraId="07596104" w14:textId="68143911" w:rsidR="00FC78B9" w:rsidRPr="00F739F6" w:rsidRDefault="00FC78B9" w:rsidP="0089704E">
      <w:r w:rsidRPr="00B2525C">
        <w:t>Neighbourhoods which are perceived as safe</w:t>
      </w:r>
      <w:r w:rsidR="00502241" w:rsidRPr="00B2525C">
        <w:t>,</w:t>
      </w:r>
      <w:r w:rsidRPr="00B2525C">
        <w:t xml:space="preserve"> foster community participation</w:t>
      </w:r>
      <w:r w:rsidR="0089704E" w:rsidRPr="00B2525C">
        <w:t>,</w:t>
      </w:r>
      <w:r w:rsidRPr="00B2525C">
        <w:t xml:space="preserve"> encourage physical activity, and add to the health and well-being of local residents and visitors</w:t>
      </w:r>
      <w:r w:rsidR="006879A0" w:rsidRPr="00B2525C">
        <w:t xml:space="preserve">. </w:t>
      </w:r>
      <w:r w:rsidRPr="00B2525C">
        <w:t>The built environment and the way neighbourhoods are designed and maintained, impact greatly on perceptions of safety</w:t>
      </w:r>
      <w:r w:rsidR="006879A0" w:rsidRPr="00B2525C">
        <w:t xml:space="preserve"> (Wong et al, 2016).</w:t>
      </w:r>
      <w:r w:rsidR="00F739F6">
        <w:t xml:space="preserve"> </w:t>
      </w:r>
      <w:r w:rsidRPr="00B2525C">
        <w:rPr>
          <w:rFonts w:cs="Arial"/>
        </w:rPr>
        <w:t xml:space="preserve">Data from Council’s annual community survey shows </w:t>
      </w:r>
      <w:r w:rsidR="0089704E" w:rsidRPr="00B2525C">
        <w:rPr>
          <w:rFonts w:cs="Arial"/>
        </w:rPr>
        <w:t>small variation</w:t>
      </w:r>
      <w:r w:rsidR="00F739F6">
        <w:rPr>
          <w:rFonts w:cs="Arial"/>
        </w:rPr>
        <w:t>s</w:t>
      </w:r>
      <w:r w:rsidR="0089704E" w:rsidRPr="00B2525C">
        <w:rPr>
          <w:rFonts w:cs="Arial"/>
        </w:rPr>
        <w:t xml:space="preserve"> in perceptions of safety over time (2018 to 2020). </w:t>
      </w:r>
      <w:r w:rsidRPr="00B2525C">
        <w:rPr>
          <w:rFonts w:cs="Arial"/>
        </w:rPr>
        <w:t>About eight in ten residents feel safe at public transport stops and stations, while about nine in ten residents feel safe when walking alone in their local area during the day.</w:t>
      </w:r>
      <w:r w:rsidR="0089704E" w:rsidRPr="00B2525C">
        <w:rPr>
          <w:rFonts w:cs="Arial"/>
        </w:rPr>
        <w:t xml:space="preserve"> Less than half of all residents feel safe walking alone in their local area at night.</w:t>
      </w:r>
    </w:p>
    <w:p w14:paraId="0AEB90FA" w14:textId="77777777" w:rsidR="00C212F9" w:rsidRDefault="00C212F9" w:rsidP="0089704E">
      <w:pPr>
        <w:rPr>
          <w:rFonts w:cs="Arial"/>
        </w:rPr>
      </w:pPr>
    </w:p>
    <w:p w14:paraId="0A2574FB" w14:textId="05303AC2" w:rsidR="001F1E87" w:rsidRPr="00B2525C" w:rsidRDefault="001F1E87" w:rsidP="0089704E">
      <w:pPr>
        <w:rPr>
          <w:rFonts w:cs="Arial"/>
        </w:rPr>
      </w:pPr>
      <w:r w:rsidRPr="001F1E87">
        <w:rPr>
          <w:rFonts w:cs="Arial"/>
          <w:b/>
        </w:rPr>
        <w:t>Figure</w:t>
      </w:r>
      <w:r w:rsidR="00B93B84">
        <w:rPr>
          <w:rFonts w:cs="Arial"/>
          <w:b/>
        </w:rPr>
        <w:t xml:space="preserve"> 45. </w:t>
      </w:r>
      <w:r>
        <w:rPr>
          <w:rFonts w:cs="Arial"/>
        </w:rPr>
        <w:t xml:space="preserve"> </w:t>
      </w:r>
      <w:r w:rsidRPr="001F1E87">
        <w:rPr>
          <w:rFonts w:cs="Arial"/>
        </w:rPr>
        <w:t>Perceptions of community safety (per cent feeling 'safe' or 'very safe')</w:t>
      </w:r>
    </w:p>
    <w:p w14:paraId="5A057076" w14:textId="77777777" w:rsidR="00FC78B9" w:rsidRPr="00B2525C" w:rsidRDefault="008336C6" w:rsidP="00FC78B9">
      <w:pPr>
        <w:rPr>
          <w:rFonts w:cs="Arial"/>
        </w:rPr>
      </w:pPr>
      <w:r w:rsidRPr="00B2525C">
        <w:rPr>
          <w:rFonts w:cs="Arial"/>
          <w:noProof/>
        </w:rPr>
        <w:drawing>
          <wp:inline distT="0" distB="0" distL="0" distR="0" wp14:anchorId="7AE236C8" wp14:editId="535CA04C">
            <wp:extent cx="5775960" cy="2105246"/>
            <wp:effectExtent l="0" t="0" r="15240" b="9525"/>
            <wp:docPr id="245" name="Chart 245">
              <a:extLst xmlns:a="http://schemas.openxmlformats.org/drawingml/2006/main">
                <a:ext uri="{FF2B5EF4-FFF2-40B4-BE49-F238E27FC236}">
                  <a16:creationId xmlns:a16="http://schemas.microsoft.com/office/drawing/2014/main" id="{33500C6C-E3AC-4446-A7C7-164704161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DB85050" w14:textId="77777777" w:rsidR="008336C6" w:rsidRPr="00B2525C" w:rsidRDefault="008336C6" w:rsidP="008336C6">
      <w:pPr>
        <w:pStyle w:val="Caption"/>
        <w:rPr>
          <w:rFonts w:cs="Arial"/>
        </w:rPr>
      </w:pPr>
      <w:r w:rsidRPr="00B2525C">
        <w:rPr>
          <w:rFonts w:cs="Arial"/>
        </w:rPr>
        <w:t>Source: Moonee Valley Community Satisfaction Surveys, 2018-2021</w:t>
      </w:r>
    </w:p>
    <w:p w14:paraId="42EDC0B0" w14:textId="77777777" w:rsidR="00F33571" w:rsidRPr="00B2525C" w:rsidRDefault="00F33571" w:rsidP="00FC78B9">
      <w:pPr>
        <w:rPr>
          <w:rFonts w:cs="Arial"/>
        </w:rPr>
      </w:pPr>
    </w:p>
    <w:p w14:paraId="3605FF8C" w14:textId="77777777" w:rsidR="00FC78B9" w:rsidRPr="00B2525C" w:rsidRDefault="00FC78B9" w:rsidP="00FC78B9">
      <w:pPr>
        <w:rPr>
          <w:rFonts w:cs="Arial"/>
        </w:rPr>
      </w:pPr>
      <w:r w:rsidRPr="00B2525C">
        <w:rPr>
          <w:rFonts w:cs="Arial"/>
        </w:rPr>
        <w:t>Perceptions of safety of walking alone in the local area at night are much lower for females than for males. In 20</w:t>
      </w:r>
      <w:r w:rsidR="00A829D4" w:rsidRPr="00B2525C">
        <w:rPr>
          <w:rFonts w:cs="Arial"/>
        </w:rPr>
        <w:t>21</w:t>
      </w:r>
      <w:r w:rsidRPr="00B2525C">
        <w:rPr>
          <w:rFonts w:cs="Arial"/>
        </w:rPr>
        <w:t>,</w:t>
      </w:r>
      <w:r w:rsidR="0029000B" w:rsidRPr="00B2525C">
        <w:rPr>
          <w:rFonts w:cs="Arial"/>
        </w:rPr>
        <w:t xml:space="preserve"> </w:t>
      </w:r>
      <w:r w:rsidRPr="00B2525C">
        <w:rPr>
          <w:rFonts w:cs="Arial"/>
        </w:rPr>
        <w:t>3</w:t>
      </w:r>
      <w:r w:rsidR="00F33571" w:rsidRPr="00B2525C">
        <w:rPr>
          <w:rFonts w:cs="Arial"/>
        </w:rPr>
        <w:t>1.9</w:t>
      </w:r>
      <w:r w:rsidRPr="00B2525C">
        <w:rPr>
          <w:rFonts w:cs="Arial"/>
        </w:rPr>
        <w:t xml:space="preserve"> per cent of females reported feeling either ‘very safe’ or ‘safe’ compared to </w:t>
      </w:r>
      <w:r w:rsidR="00F33571" w:rsidRPr="00B2525C">
        <w:rPr>
          <w:rFonts w:cs="Arial"/>
        </w:rPr>
        <w:t>64</w:t>
      </w:r>
      <w:r w:rsidRPr="00B2525C">
        <w:rPr>
          <w:rFonts w:cs="Arial"/>
        </w:rPr>
        <w:t xml:space="preserve"> per cent for males. </w:t>
      </w:r>
      <w:r w:rsidR="00F33571" w:rsidRPr="00B2525C">
        <w:rPr>
          <w:rFonts w:cs="Arial"/>
        </w:rPr>
        <w:t>There is no consistent trend over the period 2019 to 2021, although it should be noted that women felt less safe in 2021 than they did in 2020.</w:t>
      </w:r>
    </w:p>
    <w:p w14:paraId="1F296F02" w14:textId="77777777" w:rsidR="001F1E87" w:rsidRDefault="001F1E87" w:rsidP="00FC78B9">
      <w:pPr>
        <w:rPr>
          <w:rFonts w:cs="Arial"/>
        </w:rPr>
      </w:pPr>
    </w:p>
    <w:p w14:paraId="13946EB4" w14:textId="0C1671C3" w:rsidR="001F1E87" w:rsidRDefault="001F1E87" w:rsidP="00FC78B9">
      <w:pPr>
        <w:rPr>
          <w:rFonts w:cs="Arial"/>
        </w:rPr>
      </w:pPr>
      <w:r w:rsidRPr="001F1E87">
        <w:rPr>
          <w:rFonts w:cs="Arial"/>
          <w:b/>
        </w:rPr>
        <w:t>Figure</w:t>
      </w:r>
      <w:r w:rsidR="00DB0527">
        <w:rPr>
          <w:rFonts w:cs="Arial"/>
          <w:b/>
        </w:rPr>
        <w:t xml:space="preserve"> </w:t>
      </w:r>
      <w:r w:rsidR="00B93B84">
        <w:rPr>
          <w:rFonts w:cs="Arial"/>
          <w:b/>
        </w:rPr>
        <w:t xml:space="preserve">46. </w:t>
      </w:r>
      <w:r w:rsidRPr="001F1E87">
        <w:rPr>
          <w:rFonts w:cs="Arial"/>
        </w:rPr>
        <w:t>Residents who feel safe or very safe walking alone in their neighbourhood at night, by year and sex</w:t>
      </w:r>
    </w:p>
    <w:p w14:paraId="4067B41A" w14:textId="77777777" w:rsidR="00720926" w:rsidRPr="00B2525C" w:rsidRDefault="004A5AFF" w:rsidP="00FC78B9">
      <w:pPr>
        <w:rPr>
          <w:rFonts w:cs="Arial"/>
        </w:rPr>
      </w:pPr>
      <w:r w:rsidRPr="00B2525C">
        <w:rPr>
          <w:rFonts w:cs="Arial"/>
          <w:noProof/>
        </w:rPr>
        <w:drawing>
          <wp:inline distT="0" distB="0" distL="0" distR="0" wp14:anchorId="237E7760" wp14:editId="45B669B4">
            <wp:extent cx="5762625" cy="1940119"/>
            <wp:effectExtent l="0" t="0" r="9525" b="3175"/>
            <wp:docPr id="25" name="Chart 25">
              <a:extLst xmlns:a="http://schemas.openxmlformats.org/drawingml/2006/main">
                <a:ext uri="{FF2B5EF4-FFF2-40B4-BE49-F238E27FC236}">
                  <a16:creationId xmlns:a16="http://schemas.microsoft.com/office/drawing/2014/main" id="{B6298518-8F79-404A-B6FF-48983E155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5751293" w14:textId="77777777" w:rsidR="00DA4C07" w:rsidRPr="00C212F9" w:rsidRDefault="00DA4C07" w:rsidP="00DA4C07">
      <w:pPr>
        <w:rPr>
          <w:rFonts w:cs="Arial"/>
          <w:i/>
          <w:sz w:val="20"/>
          <w:szCs w:val="20"/>
        </w:rPr>
      </w:pPr>
      <w:r w:rsidRPr="00C212F9">
        <w:rPr>
          <w:rFonts w:cs="Arial"/>
          <w:i/>
          <w:sz w:val="20"/>
          <w:szCs w:val="20"/>
        </w:rPr>
        <w:t>Source: Moonee Valley City Council annual community survey, 2020</w:t>
      </w:r>
    </w:p>
    <w:p w14:paraId="57567608" w14:textId="77777777" w:rsidR="00F12512" w:rsidRPr="008D6556" w:rsidRDefault="005D542F" w:rsidP="008D6556">
      <w:pPr>
        <w:pStyle w:val="Heading3"/>
        <w:rPr>
          <w:color w:val="7030A0"/>
        </w:rPr>
      </w:pPr>
      <w:r w:rsidRPr="008D6556">
        <w:rPr>
          <w:color w:val="7030A0"/>
        </w:rPr>
        <w:lastRenderedPageBreak/>
        <w:t>COVID-19</w:t>
      </w:r>
      <w:r w:rsidR="00F12512" w:rsidRPr="008D6556">
        <w:rPr>
          <w:color w:val="7030A0"/>
        </w:rPr>
        <w:t xml:space="preserve"> impact on social and community networks</w:t>
      </w:r>
      <w:r w:rsidR="006879A0" w:rsidRPr="008D6556">
        <w:rPr>
          <w:color w:val="7030A0"/>
        </w:rPr>
        <w:t xml:space="preserve"> on target populations</w:t>
      </w:r>
    </w:p>
    <w:p w14:paraId="2AFAE893" w14:textId="77777777" w:rsidR="008D6556" w:rsidRPr="008D6556" w:rsidRDefault="008D6556" w:rsidP="008D6556"/>
    <w:p w14:paraId="76B916CE" w14:textId="7AF451E8" w:rsidR="00490C74" w:rsidRPr="00580686" w:rsidRDefault="00490C74" w:rsidP="00490C74">
      <w:pPr>
        <w:rPr>
          <w:rFonts w:cs="Arial"/>
        </w:rPr>
      </w:pPr>
      <w:r w:rsidRPr="00580686">
        <w:rPr>
          <w:rFonts w:cs="Arial"/>
        </w:rPr>
        <w:t xml:space="preserve">Limits on public gatherings as well as social distancing have been imposed across Australia to limit the spread of COVID-19. </w:t>
      </w:r>
      <w:r w:rsidR="006879A0" w:rsidRPr="00580686">
        <w:rPr>
          <w:rFonts w:cs="Arial"/>
        </w:rPr>
        <w:t>During lock-down</w:t>
      </w:r>
      <w:r w:rsidR="00DB0527" w:rsidRPr="00580686">
        <w:rPr>
          <w:rFonts w:cs="Arial"/>
        </w:rPr>
        <w:t>s</w:t>
      </w:r>
      <w:r w:rsidR="00F36A03" w:rsidRPr="00580686">
        <w:rPr>
          <w:rFonts w:cs="Arial"/>
        </w:rPr>
        <w:t>,</w:t>
      </w:r>
      <w:r w:rsidR="006879A0" w:rsidRPr="00580686">
        <w:rPr>
          <w:rFonts w:cs="Arial"/>
        </w:rPr>
        <w:t xml:space="preserve"> </w:t>
      </w:r>
      <w:r w:rsidR="00A97269" w:rsidRPr="00580686">
        <w:rPr>
          <w:rFonts w:cs="Arial"/>
        </w:rPr>
        <w:t xml:space="preserve">a variety of measures have been and are imposed to restrict movement. </w:t>
      </w:r>
      <w:r w:rsidRPr="00580686">
        <w:rPr>
          <w:rFonts w:cs="Arial"/>
        </w:rPr>
        <w:t xml:space="preserve">This has led to many social impacts such </w:t>
      </w:r>
      <w:r w:rsidR="00DB0527" w:rsidRPr="00580686">
        <w:rPr>
          <w:rFonts w:cs="Arial"/>
        </w:rPr>
        <w:t xml:space="preserve">as </w:t>
      </w:r>
      <w:r w:rsidRPr="00580686">
        <w:rPr>
          <w:rFonts w:cs="Arial"/>
        </w:rPr>
        <w:t xml:space="preserve">cancellation of social gatherings, and the closure of community facilities. </w:t>
      </w:r>
      <w:r w:rsidR="003F3E59" w:rsidRPr="00580686">
        <w:rPr>
          <w:rFonts w:cs="Arial"/>
        </w:rPr>
        <w:t>Vic</w:t>
      </w:r>
      <w:r w:rsidR="00502241" w:rsidRPr="00580686">
        <w:rPr>
          <w:rFonts w:cs="Arial"/>
        </w:rPr>
        <w:t>H</w:t>
      </w:r>
      <w:r w:rsidR="003F3E59" w:rsidRPr="00580686">
        <w:rPr>
          <w:rFonts w:cs="Arial"/>
        </w:rPr>
        <w:t>ealth</w:t>
      </w:r>
      <w:r w:rsidR="00F12512" w:rsidRPr="00580686">
        <w:rPr>
          <w:rFonts w:cs="Arial"/>
        </w:rPr>
        <w:t xml:space="preserve"> research has shown that groups that were feeling less connected during Covid-19 lockdown restrictions include those with a self-reported </w:t>
      </w:r>
      <w:r w:rsidR="00F12512" w:rsidRPr="00580686">
        <w:rPr>
          <w:rFonts w:cs="Arial"/>
          <w:b/>
          <w:bCs/>
          <w:color w:val="7030A0"/>
        </w:rPr>
        <w:t>disability</w:t>
      </w:r>
      <w:r w:rsidR="00F12512" w:rsidRPr="00580686">
        <w:rPr>
          <w:rFonts w:cs="Arial"/>
          <w:color w:val="7030A0"/>
        </w:rPr>
        <w:t xml:space="preserve"> </w:t>
      </w:r>
      <w:r w:rsidR="00F12512" w:rsidRPr="00580686">
        <w:rPr>
          <w:rFonts w:cs="Arial"/>
        </w:rPr>
        <w:t>(3</w:t>
      </w:r>
      <w:r w:rsidR="00DB0527" w:rsidRPr="00580686">
        <w:rPr>
          <w:rFonts w:cs="Arial"/>
        </w:rPr>
        <w:t xml:space="preserve"> </w:t>
      </w:r>
      <w:r w:rsidR="0017290D" w:rsidRPr="00580686">
        <w:rPr>
          <w:rFonts w:cs="Arial"/>
        </w:rPr>
        <w:t>per cent</w:t>
      </w:r>
      <w:r w:rsidR="00F12512" w:rsidRPr="00580686">
        <w:rPr>
          <w:rFonts w:cs="Arial"/>
        </w:rPr>
        <w:t xml:space="preserve">), those who were </w:t>
      </w:r>
      <w:r w:rsidR="00F12512" w:rsidRPr="00580686">
        <w:rPr>
          <w:rFonts w:cs="Arial"/>
          <w:b/>
          <w:bCs/>
          <w:color w:val="7030A0"/>
        </w:rPr>
        <w:t>unemployed</w:t>
      </w:r>
      <w:r w:rsidR="00F12512" w:rsidRPr="00580686">
        <w:rPr>
          <w:rFonts w:cs="Arial"/>
          <w:color w:val="7030A0"/>
        </w:rPr>
        <w:t xml:space="preserve"> </w:t>
      </w:r>
      <w:r w:rsidR="00F12512" w:rsidRPr="00580686">
        <w:rPr>
          <w:rFonts w:cs="Arial"/>
        </w:rPr>
        <w:t>(36</w:t>
      </w:r>
      <w:r w:rsidR="006879A0" w:rsidRPr="00580686">
        <w:rPr>
          <w:rFonts w:cs="Arial"/>
        </w:rPr>
        <w:t xml:space="preserve"> </w:t>
      </w:r>
      <w:r w:rsidR="0017290D" w:rsidRPr="00580686">
        <w:rPr>
          <w:rFonts w:cs="Arial"/>
        </w:rPr>
        <w:t>per cent</w:t>
      </w:r>
      <w:r w:rsidR="00F12512" w:rsidRPr="00580686">
        <w:rPr>
          <w:rFonts w:cs="Arial"/>
        </w:rPr>
        <w:t xml:space="preserve">), those in a </w:t>
      </w:r>
      <w:r w:rsidR="00F12512" w:rsidRPr="00580686">
        <w:rPr>
          <w:rFonts w:cs="Arial"/>
          <w:b/>
          <w:bCs/>
          <w:color w:val="7030A0"/>
        </w:rPr>
        <w:t>lower income</w:t>
      </w:r>
      <w:r w:rsidR="00F12512" w:rsidRPr="00580686">
        <w:rPr>
          <w:rFonts w:cs="Arial"/>
        </w:rPr>
        <w:t xml:space="preserve"> bracket (30</w:t>
      </w:r>
      <w:r w:rsidR="006879A0" w:rsidRPr="00580686">
        <w:rPr>
          <w:rFonts w:cs="Arial"/>
        </w:rPr>
        <w:t xml:space="preserve"> </w:t>
      </w:r>
      <w:r w:rsidR="0017290D" w:rsidRPr="00580686">
        <w:rPr>
          <w:rFonts w:cs="Arial"/>
        </w:rPr>
        <w:t>per cent</w:t>
      </w:r>
      <w:r w:rsidR="00F12512" w:rsidRPr="00580686">
        <w:rPr>
          <w:rFonts w:cs="Arial"/>
        </w:rPr>
        <w:t xml:space="preserve">), and </w:t>
      </w:r>
      <w:r w:rsidR="00F12512" w:rsidRPr="00580686">
        <w:rPr>
          <w:rFonts w:cs="Arial"/>
          <w:b/>
          <w:bCs/>
          <w:color w:val="7030A0"/>
        </w:rPr>
        <w:t>young people</w:t>
      </w:r>
      <w:r w:rsidR="00F12512" w:rsidRPr="00580686">
        <w:rPr>
          <w:rFonts w:cs="Arial"/>
          <w:color w:val="7030A0"/>
        </w:rPr>
        <w:t xml:space="preserve"> </w:t>
      </w:r>
      <w:r w:rsidR="00F12512" w:rsidRPr="00580686">
        <w:rPr>
          <w:rFonts w:cs="Arial"/>
        </w:rPr>
        <w:t>aged 18 to 24 (39</w:t>
      </w:r>
      <w:r w:rsidR="006879A0" w:rsidRPr="00580686">
        <w:rPr>
          <w:rFonts w:cs="Arial"/>
        </w:rPr>
        <w:t xml:space="preserve"> </w:t>
      </w:r>
      <w:r w:rsidR="0017290D" w:rsidRPr="00580686">
        <w:rPr>
          <w:rFonts w:cs="Arial"/>
        </w:rPr>
        <w:t>per cent</w:t>
      </w:r>
      <w:r w:rsidR="00F12512" w:rsidRPr="00580686">
        <w:rPr>
          <w:rFonts w:cs="Arial"/>
        </w:rPr>
        <w:t xml:space="preserve">). Those speaking </w:t>
      </w:r>
      <w:r w:rsidR="00F12512" w:rsidRPr="00580686">
        <w:rPr>
          <w:rFonts w:cs="Arial"/>
          <w:bCs/>
        </w:rPr>
        <w:t>a</w:t>
      </w:r>
      <w:r w:rsidR="00F12512" w:rsidRPr="00580686">
        <w:rPr>
          <w:rFonts w:cs="Arial"/>
          <w:b/>
          <w:bCs/>
        </w:rPr>
        <w:t xml:space="preserve"> </w:t>
      </w:r>
      <w:r w:rsidR="00F12512" w:rsidRPr="00580686">
        <w:rPr>
          <w:rFonts w:cs="Arial"/>
          <w:b/>
          <w:bCs/>
          <w:color w:val="7030A0"/>
        </w:rPr>
        <w:t>language other than English</w:t>
      </w:r>
      <w:r w:rsidR="00F12512" w:rsidRPr="00580686">
        <w:rPr>
          <w:rFonts w:cs="Arial"/>
          <w:color w:val="7030A0"/>
        </w:rPr>
        <w:t xml:space="preserve"> </w:t>
      </w:r>
      <w:r w:rsidR="00F12512" w:rsidRPr="00580686">
        <w:rPr>
          <w:rFonts w:cs="Arial"/>
        </w:rPr>
        <w:t>at home (39</w:t>
      </w:r>
      <w:r w:rsidR="006879A0" w:rsidRPr="00580686">
        <w:rPr>
          <w:rFonts w:cs="Arial"/>
        </w:rPr>
        <w:t xml:space="preserve"> </w:t>
      </w:r>
      <w:r w:rsidR="0017290D" w:rsidRPr="00580686">
        <w:rPr>
          <w:rFonts w:cs="Arial"/>
        </w:rPr>
        <w:t>per cent</w:t>
      </w:r>
      <w:r w:rsidR="00F12512" w:rsidRPr="00580686">
        <w:rPr>
          <w:rFonts w:cs="Arial"/>
        </w:rPr>
        <w:t xml:space="preserve">) and </w:t>
      </w:r>
      <w:r w:rsidR="00F12512" w:rsidRPr="00580686">
        <w:rPr>
          <w:rFonts w:cs="Arial"/>
          <w:b/>
          <w:bCs/>
          <w:color w:val="7030A0"/>
        </w:rPr>
        <w:t>Aboriginal and Torres Strait Islanders</w:t>
      </w:r>
      <w:r w:rsidR="00F12512" w:rsidRPr="00580686">
        <w:rPr>
          <w:rFonts w:cs="Arial"/>
          <w:color w:val="7030A0"/>
        </w:rPr>
        <w:t xml:space="preserve"> </w:t>
      </w:r>
      <w:r w:rsidR="00F12512" w:rsidRPr="00580686">
        <w:rPr>
          <w:rFonts w:cs="Arial"/>
        </w:rPr>
        <w:t>(51</w:t>
      </w:r>
      <w:r w:rsidR="006879A0" w:rsidRPr="00580686">
        <w:rPr>
          <w:rFonts w:cs="Arial"/>
        </w:rPr>
        <w:t xml:space="preserve"> </w:t>
      </w:r>
      <w:r w:rsidR="0017290D" w:rsidRPr="00580686">
        <w:rPr>
          <w:rFonts w:cs="Arial"/>
        </w:rPr>
        <w:t>per cent</w:t>
      </w:r>
      <w:r w:rsidR="00F12512" w:rsidRPr="00580686">
        <w:rPr>
          <w:rFonts w:cs="Arial"/>
        </w:rPr>
        <w:t>) were also more likely to report difficulties maintaining connections</w:t>
      </w:r>
      <w:r w:rsidR="00F36A03" w:rsidRPr="00580686">
        <w:rPr>
          <w:rFonts w:cs="Arial"/>
        </w:rPr>
        <w:t xml:space="preserve"> </w:t>
      </w:r>
      <w:r w:rsidR="00F12512" w:rsidRPr="00580686">
        <w:rPr>
          <w:rFonts w:cs="Arial"/>
        </w:rPr>
        <w:t>(VicHealth, 2020).</w:t>
      </w:r>
      <w:r w:rsidRPr="00580686">
        <w:rPr>
          <w:rFonts w:cs="Arial"/>
        </w:rPr>
        <w:t xml:space="preserve"> However, there </w:t>
      </w:r>
      <w:r w:rsidR="00F36A03" w:rsidRPr="00580686">
        <w:rPr>
          <w:rFonts w:cs="Arial"/>
        </w:rPr>
        <w:t>have been reports of positive consequences</w:t>
      </w:r>
      <w:r w:rsidRPr="00580686">
        <w:rPr>
          <w:rFonts w:cs="Arial"/>
        </w:rPr>
        <w:t>:</w:t>
      </w:r>
    </w:p>
    <w:p w14:paraId="35ACE103" w14:textId="77777777" w:rsidR="00490C74" w:rsidRPr="008D6556" w:rsidRDefault="00490C74" w:rsidP="008D6556">
      <w:pPr>
        <w:pStyle w:val="ListParagraph"/>
        <w:numPr>
          <w:ilvl w:val="0"/>
          <w:numId w:val="7"/>
        </w:numPr>
        <w:spacing w:before="0" w:line="276" w:lineRule="auto"/>
        <w:rPr>
          <w:rFonts w:ascii="Circular Std Book" w:hAnsi="Circular Std Book" w:cs="Circular Std Book"/>
          <w:color w:val="auto"/>
        </w:rPr>
      </w:pPr>
      <w:r w:rsidRPr="008D6556">
        <w:rPr>
          <w:rFonts w:ascii="Circular Std Book" w:hAnsi="Circular Std Book" w:cs="Circular Std Book"/>
          <w:color w:val="auto"/>
        </w:rPr>
        <w:t>residents spending more time with their families</w:t>
      </w:r>
    </w:p>
    <w:p w14:paraId="4440F373" w14:textId="355A6A67" w:rsidR="00B42366" w:rsidRDefault="00490C74" w:rsidP="00094861">
      <w:pPr>
        <w:pStyle w:val="ListParagraph"/>
        <w:numPr>
          <w:ilvl w:val="0"/>
          <w:numId w:val="7"/>
        </w:numPr>
        <w:spacing w:before="0" w:line="276" w:lineRule="auto"/>
        <w:rPr>
          <w:rFonts w:ascii="Circular Std Book" w:hAnsi="Circular Std Book" w:cs="Circular Std Book"/>
          <w:color w:val="auto"/>
        </w:rPr>
      </w:pPr>
      <w:r w:rsidRPr="008D6556">
        <w:rPr>
          <w:rFonts w:ascii="Circular Std Book" w:hAnsi="Circular Std Book" w:cs="Circular Std Book"/>
          <w:color w:val="auto"/>
        </w:rPr>
        <w:t>residents having more connection with their local community</w:t>
      </w:r>
      <w:bookmarkStart w:id="40" w:name="_Toc39752068"/>
    </w:p>
    <w:p w14:paraId="68B0CF3A" w14:textId="77777777" w:rsidR="00831AB7" w:rsidRPr="00F36A03" w:rsidRDefault="00831AB7" w:rsidP="00831AB7">
      <w:pPr>
        <w:pStyle w:val="ListParagraph"/>
        <w:spacing w:before="0" w:line="276" w:lineRule="auto"/>
        <w:rPr>
          <w:rFonts w:ascii="Circular Std Book" w:hAnsi="Circular Std Book" w:cs="Circular Std Book"/>
          <w:color w:val="auto"/>
        </w:rPr>
      </w:pPr>
    </w:p>
    <w:p w14:paraId="4C3DD734" w14:textId="6EFE7DF7" w:rsidR="00831AB7" w:rsidRDefault="004442F8" w:rsidP="00094861">
      <w:pPr>
        <w:rPr>
          <w:rFonts w:cs="Arial"/>
          <w:b/>
        </w:rPr>
      </w:pPr>
      <w:r w:rsidRPr="008D6556">
        <w:rPr>
          <w:rFonts w:cs="Arial"/>
          <w:b/>
          <w:color w:val="7030A0"/>
        </w:rPr>
        <w:t>Older people</w:t>
      </w:r>
      <w:bookmarkEnd w:id="40"/>
      <w:r w:rsidR="00094861" w:rsidRPr="008D6556">
        <w:rPr>
          <w:rFonts w:cs="Arial"/>
        </w:rPr>
        <w:t xml:space="preserve">: </w:t>
      </w:r>
      <w:r w:rsidRPr="008D6556">
        <w:rPr>
          <w:rFonts w:eastAsia="Times New Roman" w:cs="Arial"/>
          <w:lang w:eastAsia="en-AU"/>
        </w:rPr>
        <w:t xml:space="preserve">are particularly at risk of social isolation due to COVID-19. This is especially the case with social and community groups not running. </w:t>
      </w:r>
      <w:r w:rsidRPr="008D6556">
        <w:rPr>
          <w:rFonts w:cs="Arial"/>
        </w:rPr>
        <w:t>It has been suggested that ageism may also play a role in responses to the pandemic, putting older people more at risk</w:t>
      </w:r>
      <w:r w:rsidR="006879A0" w:rsidRPr="008D6556">
        <w:rPr>
          <w:rFonts w:cs="Arial"/>
        </w:rPr>
        <w:t xml:space="preserve"> of negative health and wellbeing consequences (Aronson, 2020)</w:t>
      </w:r>
      <w:r w:rsidR="00F36A03">
        <w:rPr>
          <w:rFonts w:cs="Arial"/>
        </w:rPr>
        <w:t>.</w:t>
      </w:r>
      <w:r w:rsidRPr="008D6556">
        <w:rPr>
          <w:rStyle w:val="FootnoteReference"/>
          <w:rFonts w:cs="Arial"/>
          <w:b/>
        </w:rPr>
        <w:t xml:space="preserve"> </w:t>
      </w:r>
      <w:bookmarkStart w:id="41" w:name="_Toc39752069"/>
    </w:p>
    <w:p w14:paraId="3433648B" w14:textId="77777777" w:rsidR="00831AB7" w:rsidRPr="00831AB7" w:rsidRDefault="00831AB7" w:rsidP="00094861">
      <w:pPr>
        <w:rPr>
          <w:rFonts w:cs="Arial"/>
        </w:rPr>
      </w:pPr>
    </w:p>
    <w:p w14:paraId="4547F78B" w14:textId="09727DC6" w:rsidR="00E010BE" w:rsidRDefault="00E010BE" w:rsidP="00094861">
      <w:pPr>
        <w:rPr>
          <w:rFonts w:cs="Arial"/>
        </w:rPr>
      </w:pPr>
      <w:r w:rsidRPr="008D6556">
        <w:rPr>
          <w:rFonts w:cs="Arial"/>
          <w:b/>
          <w:color w:val="7030A0"/>
        </w:rPr>
        <w:t>LGBTIQA+ people</w:t>
      </w:r>
      <w:bookmarkEnd w:id="41"/>
      <w:r w:rsidR="00094861" w:rsidRPr="008D6556">
        <w:rPr>
          <w:rFonts w:cs="Arial"/>
          <w:b/>
          <w:color w:val="7030A0"/>
        </w:rPr>
        <w:t>:</w:t>
      </w:r>
      <w:r w:rsidR="00094861" w:rsidRPr="008D6556">
        <w:rPr>
          <w:rFonts w:cs="Arial"/>
          <w:color w:val="7030A0"/>
        </w:rPr>
        <w:t xml:space="preserve"> </w:t>
      </w:r>
      <w:r w:rsidR="00094861" w:rsidRPr="008D6556">
        <w:rPr>
          <w:rFonts w:eastAsia="Times New Roman" w:cs="Arial"/>
          <w:lang w:eastAsia="en-AU"/>
        </w:rPr>
        <w:t xml:space="preserve">are </w:t>
      </w:r>
      <w:r w:rsidRPr="008D6556">
        <w:rPr>
          <w:rStyle w:val="Strong"/>
          <w:rFonts w:cs="Arial"/>
          <w:b w:val="0"/>
          <w:bCs w:val="0"/>
          <w:bdr w:val="none" w:sz="0" w:space="0" w:color="auto" w:frame="1"/>
        </w:rPr>
        <w:t xml:space="preserve">more likely to experience anxiety and depression and greater risk of suicide and self-harm. Connection to community and peer support </w:t>
      </w:r>
      <w:r w:rsidR="00F36A03">
        <w:rPr>
          <w:rStyle w:val="Strong"/>
          <w:rFonts w:cs="Arial"/>
          <w:b w:val="0"/>
          <w:bCs w:val="0"/>
          <w:bdr w:val="none" w:sz="0" w:space="0" w:color="auto" w:frame="1"/>
        </w:rPr>
        <w:t>was</w:t>
      </w:r>
      <w:r w:rsidRPr="008D6556">
        <w:rPr>
          <w:rStyle w:val="Strong"/>
          <w:rFonts w:cs="Arial"/>
          <w:b w:val="0"/>
          <w:bCs w:val="0"/>
          <w:bdr w:val="none" w:sz="0" w:space="0" w:color="auto" w:frame="1"/>
        </w:rPr>
        <w:t xml:space="preserve"> disrupted potentially leading to greater mental health issues</w:t>
      </w:r>
      <w:r w:rsidR="006879A0" w:rsidRPr="008D6556">
        <w:rPr>
          <w:rFonts w:cs="Arial"/>
        </w:rPr>
        <w:t xml:space="preserve"> (Carman, Bourne and Fairchild, 2020)</w:t>
      </w:r>
      <w:r w:rsidR="00B42366" w:rsidRPr="008D6556">
        <w:rPr>
          <w:rFonts w:cs="Arial"/>
        </w:rPr>
        <w:t>.</w:t>
      </w:r>
    </w:p>
    <w:p w14:paraId="084FC3FE" w14:textId="77777777" w:rsidR="00831AB7" w:rsidRPr="008D6556" w:rsidRDefault="00831AB7" w:rsidP="00094861">
      <w:pPr>
        <w:rPr>
          <w:rFonts w:cs="Arial"/>
          <w:b/>
          <w:bCs/>
        </w:rPr>
      </w:pPr>
    </w:p>
    <w:p w14:paraId="74F0606A" w14:textId="501718E0" w:rsidR="00E010BE" w:rsidRDefault="00E010BE" w:rsidP="00094861">
      <w:pPr>
        <w:rPr>
          <w:rFonts w:cs="Arial"/>
        </w:rPr>
      </w:pPr>
      <w:r w:rsidRPr="008D6556">
        <w:rPr>
          <w:rFonts w:cs="Arial"/>
          <w:b/>
          <w:color w:val="7030A0"/>
        </w:rPr>
        <w:t>Family violence</w:t>
      </w:r>
      <w:r w:rsidRPr="008D6556">
        <w:rPr>
          <w:rFonts w:cs="Arial"/>
        </w:rPr>
        <w:t>: With people spending more time at home due to COVID-19</w:t>
      </w:r>
      <w:r w:rsidR="0004025B">
        <w:rPr>
          <w:rFonts w:cs="Arial"/>
        </w:rPr>
        <w:t xml:space="preserve"> restrictions</w:t>
      </w:r>
      <w:r w:rsidRPr="008D6556">
        <w:rPr>
          <w:rFonts w:cs="Arial"/>
        </w:rPr>
        <w:t xml:space="preserve">, those who were vulnerable to family violence before the pandemic are </w:t>
      </w:r>
      <w:r w:rsidR="00F36A03">
        <w:rPr>
          <w:rFonts w:cs="Arial"/>
        </w:rPr>
        <w:t xml:space="preserve">likely to be </w:t>
      </w:r>
      <w:r w:rsidRPr="008D6556">
        <w:rPr>
          <w:rFonts w:cs="Arial"/>
        </w:rPr>
        <w:t>even more vulnerable now. A number of support agencies, as well as Victoria Police, anticipate increases in family violence cases with increased requests for help following lockdown</w:t>
      </w:r>
      <w:r w:rsidR="00A97269">
        <w:rPr>
          <w:rFonts w:cs="Arial"/>
        </w:rPr>
        <w:t>s</w:t>
      </w:r>
      <w:r w:rsidR="00B42366" w:rsidRPr="008D6556">
        <w:rPr>
          <w:rFonts w:cs="Arial"/>
        </w:rPr>
        <w:t xml:space="preserve"> (Gearin and Knight, 2020).</w:t>
      </w:r>
    </w:p>
    <w:p w14:paraId="2122210B" w14:textId="77777777" w:rsidR="00831AB7" w:rsidRPr="008D6556" w:rsidRDefault="00831AB7" w:rsidP="00094861">
      <w:pPr>
        <w:rPr>
          <w:rFonts w:cs="Arial"/>
        </w:rPr>
      </w:pPr>
    </w:p>
    <w:p w14:paraId="44AFC94E" w14:textId="77777777" w:rsidR="00E010BE" w:rsidRPr="008D6556" w:rsidRDefault="00094861" w:rsidP="00094861">
      <w:pPr>
        <w:rPr>
          <w:rFonts w:eastAsia="Times New Roman" w:cs="Arial"/>
          <w:lang w:eastAsia="en-AU"/>
        </w:rPr>
      </w:pPr>
      <w:r w:rsidRPr="008D6556">
        <w:rPr>
          <w:rFonts w:cs="Arial"/>
          <w:b/>
          <w:color w:val="7030A0"/>
          <w:lang w:eastAsia="en-AU"/>
        </w:rPr>
        <w:t>Digital exclusion:</w:t>
      </w:r>
      <w:r w:rsidR="0029000B" w:rsidRPr="008D6556">
        <w:rPr>
          <w:rFonts w:cs="Arial"/>
          <w:color w:val="7030A0"/>
          <w:lang w:eastAsia="en-AU"/>
        </w:rPr>
        <w:t xml:space="preserve"> </w:t>
      </w:r>
      <w:r w:rsidR="006A38BC" w:rsidRPr="008D6556">
        <w:rPr>
          <w:rFonts w:eastAsia="Times New Roman" w:cs="Arial"/>
          <w:lang w:eastAsia="en-AU"/>
        </w:rPr>
        <w:t>Many p</w:t>
      </w:r>
      <w:r w:rsidR="00E010BE" w:rsidRPr="008D6556">
        <w:rPr>
          <w:rFonts w:eastAsia="Times New Roman" w:cs="Arial"/>
          <w:lang w:eastAsia="en-AU"/>
        </w:rPr>
        <w:t xml:space="preserve">eople are relying on internet access to do their work, study, keep connected </w:t>
      </w:r>
      <w:r w:rsidR="00F36A03">
        <w:rPr>
          <w:rFonts w:eastAsia="Times New Roman" w:cs="Arial"/>
          <w:lang w:eastAsia="en-AU"/>
        </w:rPr>
        <w:t xml:space="preserve">and </w:t>
      </w:r>
      <w:r w:rsidR="00E010BE" w:rsidRPr="008D6556">
        <w:rPr>
          <w:rFonts w:eastAsia="Times New Roman" w:cs="Arial"/>
          <w:lang w:eastAsia="en-AU"/>
        </w:rPr>
        <w:t xml:space="preserve">access information. </w:t>
      </w:r>
      <w:r w:rsidR="006879A0" w:rsidRPr="008D6556">
        <w:rPr>
          <w:rFonts w:eastAsia="Times New Roman" w:cs="Arial"/>
          <w:b/>
          <w:bCs/>
          <w:lang w:eastAsia="en-AU"/>
        </w:rPr>
        <w:t>O</w:t>
      </w:r>
      <w:r w:rsidR="00E010BE" w:rsidRPr="008D6556">
        <w:rPr>
          <w:rFonts w:eastAsia="Times New Roman" w:cs="Arial"/>
          <w:b/>
          <w:bCs/>
          <w:lang w:eastAsia="en-AU"/>
        </w:rPr>
        <w:t>lder people</w:t>
      </w:r>
      <w:r w:rsidR="00E010BE" w:rsidRPr="008D6556">
        <w:rPr>
          <w:rFonts w:eastAsia="Times New Roman" w:cs="Arial"/>
          <w:lang w:eastAsia="en-AU"/>
        </w:rPr>
        <w:t xml:space="preserve"> </w:t>
      </w:r>
      <w:r w:rsidR="00B42366" w:rsidRPr="008D6556">
        <w:rPr>
          <w:rFonts w:eastAsia="Times New Roman" w:cs="Arial"/>
          <w:lang w:eastAsia="en-AU"/>
        </w:rPr>
        <w:t xml:space="preserve">are </w:t>
      </w:r>
      <w:r w:rsidR="00E010BE" w:rsidRPr="008D6556">
        <w:rPr>
          <w:rFonts w:eastAsia="Times New Roman" w:cs="Arial"/>
          <w:lang w:eastAsia="en-AU"/>
        </w:rPr>
        <w:t>less likely to have access</w:t>
      </w:r>
      <w:r w:rsidR="00B42366" w:rsidRPr="008D6556">
        <w:rPr>
          <w:rFonts w:eastAsia="Times New Roman" w:cs="Arial"/>
          <w:lang w:eastAsia="en-AU"/>
        </w:rPr>
        <w:t xml:space="preserve"> than younger people</w:t>
      </w:r>
      <w:r w:rsidR="00E010BE" w:rsidRPr="008D6556">
        <w:rPr>
          <w:rFonts w:eastAsia="Times New Roman" w:cs="Arial"/>
          <w:lang w:eastAsia="en-AU"/>
        </w:rPr>
        <w:t xml:space="preserve">. Many residents who previously relied on using the internet at the libraries </w:t>
      </w:r>
      <w:r w:rsidR="00117952" w:rsidRPr="008D6556">
        <w:rPr>
          <w:rFonts w:eastAsia="Times New Roman" w:cs="Arial"/>
          <w:lang w:eastAsia="en-AU"/>
        </w:rPr>
        <w:t>where unable to do so when</w:t>
      </w:r>
      <w:r w:rsidR="00E010BE" w:rsidRPr="008D6556">
        <w:rPr>
          <w:rFonts w:eastAsia="Times New Roman" w:cs="Arial"/>
          <w:lang w:eastAsia="en-AU"/>
        </w:rPr>
        <w:t xml:space="preserve"> libraries </w:t>
      </w:r>
      <w:r w:rsidR="00117952" w:rsidRPr="008D6556">
        <w:rPr>
          <w:rFonts w:eastAsia="Times New Roman" w:cs="Arial"/>
          <w:lang w:eastAsia="en-AU"/>
        </w:rPr>
        <w:t>were</w:t>
      </w:r>
      <w:r w:rsidR="00E010BE" w:rsidRPr="008D6556">
        <w:rPr>
          <w:rFonts w:eastAsia="Times New Roman" w:cs="Arial"/>
          <w:lang w:eastAsia="en-AU"/>
        </w:rPr>
        <w:t xml:space="preserve"> closed. </w:t>
      </w:r>
    </w:p>
    <w:p w14:paraId="26CA867C" w14:textId="77777777" w:rsidR="009C63B0" w:rsidRPr="00B2525C" w:rsidRDefault="009C63B0" w:rsidP="00F12512">
      <w:pPr>
        <w:rPr>
          <w:rFonts w:cs="Arial"/>
          <w:color w:val="7030A0"/>
          <w:sz w:val="21"/>
          <w:szCs w:val="21"/>
        </w:rPr>
      </w:pPr>
      <w:r w:rsidRPr="00B2525C">
        <w:rPr>
          <w:rFonts w:cs="Arial"/>
          <w:color w:val="7030A0"/>
          <w:sz w:val="21"/>
          <w:szCs w:val="21"/>
        </w:rPr>
        <w:br w:type="page"/>
      </w:r>
    </w:p>
    <w:p w14:paraId="42961205" w14:textId="77777777" w:rsidR="001E13D2" w:rsidRPr="00B2525C" w:rsidRDefault="001E13D2" w:rsidP="0000364C">
      <w:pPr>
        <w:pStyle w:val="Heading1"/>
        <w:numPr>
          <w:ilvl w:val="0"/>
          <w:numId w:val="20"/>
        </w:numPr>
        <w:rPr>
          <w:rFonts w:cs="Arial"/>
        </w:rPr>
      </w:pPr>
      <w:bookmarkStart w:id="42" w:name="_Toc80014169"/>
      <w:bookmarkStart w:id="43" w:name="X985bc430a10039aa47ceccfdfd6123ff4cde324"/>
      <w:bookmarkStart w:id="44" w:name="_Hlk75943477"/>
      <w:r w:rsidRPr="00B2525C">
        <w:rPr>
          <w:rFonts w:cs="Arial"/>
        </w:rPr>
        <w:lastRenderedPageBreak/>
        <w:t xml:space="preserve">Neighbourhood </w:t>
      </w:r>
      <w:r w:rsidR="00FC78B9" w:rsidRPr="00B2525C">
        <w:rPr>
          <w:rFonts w:cs="Arial"/>
        </w:rPr>
        <w:t xml:space="preserve">and </w:t>
      </w:r>
      <w:r w:rsidR="002A53F6" w:rsidRPr="00B2525C">
        <w:rPr>
          <w:rFonts w:cs="Arial"/>
        </w:rPr>
        <w:t>e</w:t>
      </w:r>
      <w:r w:rsidRPr="00B2525C">
        <w:rPr>
          <w:rFonts w:cs="Arial"/>
        </w:rPr>
        <w:t xml:space="preserve">nvironmental </w:t>
      </w:r>
      <w:r w:rsidR="00FB0840" w:rsidRPr="00B2525C">
        <w:rPr>
          <w:rFonts w:cs="Arial"/>
        </w:rPr>
        <w:t>conditions</w:t>
      </w:r>
      <w:bookmarkEnd w:id="42"/>
      <w:r w:rsidRPr="00B2525C">
        <w:rPr>
          <w:rFonts w:cs="Arial"/>
        </w:rPr>
        <w:t xml:space="preserve"> </w:t>
      </w:r>
      <w:bookmarkEnd w:id="43"/>
    </w:p>
    <w:p w14:paraId="123E34E4" w14:textId="77777777" w:rsidR="00862F22" w:rsidRDefault="00862F22" w:rsidP="00570769">
      <w:pPr>
        <w:ind w:left="360"/>
        <w:rPr>
          <w:rFonts w:cs="Arial"/>
          <w:b/>
        </w:rPr>
      </w:pPr>
    </w:p>
    <w:p w14:paraId="777FD7F5" w14:textId="77777777" w:rsidR="00C12A65" w:rsidRPr="00B2525C" w:rsidRDefault="00C12A65" w:rsidP="00570769">
      <w:pPr>
        <w:ind w:left="360"/>
        <w:rPr>
          <w:rFonts w:cs="Arial"/>
          <w:b/>
        </w:rPr>
      </w:pPr>
      <w:r w:rsidRPr="00B2525C">
        <w:rPr>
          <w:rFonts w:cs="Arial"/>
          <w:b/>
        </w:rPr>
        <w:t>Key Points</w:t>
      </w:r>
    </w:p>
    <w:p w14:paraId="7E8CB6A1" w14:textId="05A7C4D2" w:rsidR="00C2393B" w:rsidRPr="00831AB7" w:rsidRDefault="00C2393B" w:rsidP="008D6556">
      <w:pPr>
        <w:pStyle w:val="ListParagraph"/>
        <w:numPr>
          <w:ilvl w:val="0"/>
          <w:numId w:val="11"/>
        </w:numPr>
        <w:pBdr>
          <w:top w:val="single" w:sz="4" w:space="1" w:color="auto"/>
          <w:bottom w:val="single" w:sz="4" w:space="1" w:color="auto"/>
        </w:pBdr>
        <w:spacing w:line="360" w:lineRule="auto"/>
        <w:rPr>
          <w:rFonts w:ascii="Circular Std Book" w:hAnsi="Circular Std Book" w:cs="Circular Std Book"/>
        </w:rPr>
      </w:pPr>
      <w:r w:rsidRPr="00831AB7">
        <w:rPr>
          <w:rFonts w:ascii="Circular Std Book" w:hAnsi="Circular Std Book" w:cs="Circular Std Book"/>
        </w:rPr>
        <w:t xml:space="preserve">13.6% </w:t>
      </w:r>
      <w:r w:rsidR="00F815DF">
        <w:rPr>
          <w:rFonts w:ascii="Circular Std Book" w:hAnsi="Circular Std Book" w:cs="Circular Std Book"/>
        </w:rPr>
        <w:t xml:space="preserve">of land in </w:t>
      </w:r>
      <w:r w:rsidR="00580686">
        <w:rPr>
          <w:rFonts w:ascii="Circular Std Book" w:hAnsi="Circular Std Book" w:cs="Circular Std Book"/>
        </w:rPr>
        <w:t>Moonee Valley</w:t>
      </w:r>
      <w:r w:rsidR="00F815DF">
        <w:rPr>
          <w:rFonts w:ascii="Circular Std Book" w:hAnsi="Circular Std Book" w:cs="Circular Std Book"/>
        </w:rPr>
        <w:t xml:space="preserve"> is made up of </w:t>
      </w:r>
      <w:r w:rsidR="00F815DF" w:rsidRPr="00831AB7">
        <w:rPr>
          <w:rFonts w:ascii="Circular Std Book" w:hAnsi="Circular Std Book" w:cs="Circular Std Book"/>
        </w:rPr>
        <w:t>open space reserves</w:t>
      </w:r>
    </w:p>
    <w:p w14:paraId="77473C97" w14:textId="26AF65ED" w:rsidR="000D1339" w:rsidRPr="00831AB7" w:rsidRDefault="00831AB7" w:rsidP="008D6556">
      <w:pPr>
        <w:pStyle w:val="ListParagraph"/>
        <w:numPr>
          <w:ilvl w:val="0"/>
          <w:numId w:val="11"/>
        </w:numPr>
        <w:pBdr>
          <w:top w:val="single" w:sz="4" w:space="1" w:color="auto"/>
          <w:bottom w:val="single" w:sz="4" w:space="1" w:color="auto"/>
        </w:pBdr>
        <w:spacing w:line="360" w:lineRule="auto"/>
        <w:rPr>
          <w:rFonts w:ascii="Circular Std Book" w:hAnsi="Circular Std Book" w:cs="Circular Std Book"/>
        </w:rPr>
      </w:pPr>
      <w:r>
        <w:rPr>
          <w:rFonts w:ascii="Circular Std Book" w:hAnsi="Circular Std Book" w:cs="Circular Std Book"/>
        </w:rPr>
        <w:t>T</w:t>
      </w:r>
      <w:r w:rsidR="00041E7C" w:rsidRPr="00831AB7">
        <w:rPr>
          <w:rFonts w:ascii="Circular Std Book" w:hAnsi="Circular Std Book" w:cs="Circular Std Book"/>
        </w:rPr>
        <w:t>ree canopy</w:t>
      </w:r>
      <w:r w:rsidR="00C2393B" w:rsidRPr="00831AB7">
        <w:rPr>
          <w:rFonts w:ascii="Circular Std Book" w:hAnsi="Circular Std Book" w:cs="Circular Std Book"/>
        </w:rPr>
        <w:t xml:space="preserve"> </w:t>
      </w:r>
      <w:r w:rsidR="00F815DF">
        <w:rPr>
          <w:rFonts w:ascii="Circular Std Book" w:hAnsi="Circular Std Book" w:cs="Circular Std Book"/>
        </w:rPr>
        <w:t xml:space="preserve">coverage </w:t>
      </w:r>
      <w:r>
        <w:rPr>
          <w:rFonts w:ascii="Circular Std Book" w:hAnsi="Circular Std Book" w:cs="Circular Std Book"/>
        </w:rPr>
        <w:t xml:space="preserve">was </w:t>
      </w:r>
      <w:r w:rsidR="00C2393B" w:rsidRPr="00831AB7">
        <w:rPr>
          <w:rFonts w:ascii="Circular Std Book" w:hAnsi="Circular Std Book" w:cs="Circular Std Book"/>
        </w:rPr>
        <w:t>1</w:t>
      </w:r>
      <w:r w:rsidR="009C5AD6" w:rsidRPr="00831AB7">
        <w:rPr>
          <w:rFonts w:ascii="Circular Std Book" w:hAnsi="Circular Std Book" w:cs="Circular Std Book"/>
        </w:rPr>
        <w:t>7</w:t>
      </w:r>
      <w:r w:rsidR="00C2393B" w:rsidRPr="00831AB7">
        <w:rPr>
          <w:rFonts w:ascii="Circular Std Book" w:hAnsi="Circular Std Book" w:cs="Circular Std Book"/>
        </w:rPr>
        <w:t>% in 2018</w:t>
      </w:r>
    </w:p>
    <w:p w14:paraId="02EC61AC" w14:textId="77777777" w:rsidR="000D1339" w:rsidRPr="00831AB7" w:rsidRDefault="000D1339" w:rsidP="008D6556">
      <w:pPr>
        <w:pStyle w:val="ListParagraph"/>
        <w:numPr>
          <w:ilvl w:val="0"/>
          <w:numId w:val="11"/>
        </w:numPr>
        <w:pBdr>
          <w:top w:val="single" w:sz="4" w:space="1" w:color="auto"/>
          <w:bottom w:val="single" w:sz="4" w:space="1" w:color="auto"/>
        </w:pBdr>
        <w:spacing w:line="360" w:lineRule="auto"/>
        <w:rPr>
          <w:rFonts w:ascii="Circular Std Book" w:hAnsi="Circular Std Book" w:cs="Circular Std Book"/>
        </w:rPr>
      </w:pPr>
      <w:r w:rsidRPr="00831AB7">
        <w:rPr>
          <w:rFonts w:ascii="Circular Std Book" w:hAnsi="Circular Std Book" w:cs="Circular Std Book"/>
        </w:rPr>
        <w:t xml:space="preserve"> Airport </w:t>
      </w:r>
      <w:r w:rsidR="00C12A65" w:rsidRPr="00831AB7">
        <w:rPr>
          <w:rFonts w:ascii="Circular Std Book" w:hAnsi="Circular Std Book" w:cs="Circular Std Book"/>
        </w:rPr>
        <w:t>W</w:t>
      </w:r>
      <w:r w:rsidRPr="00831AB7">
        <w:rPr>
          <w:rFonts w:ascii="Circular Std Book" w:hAnsi="Circular Std Book" w:cs="Circular Std Book"/>
        </w:rPr>
        <w:t xml:space="preserve">est and Keilor East had the lowest proportion of green canopy cover </w:t>
      </w:r>
    </w:p>
    <w:p w14:paraId="416BBDDB" w14:textId="77777777" w:rsidR="00932D1D" w:rsidRPr="00831AB7" w:rsidRDefault="00932D1D" w:rsidP="008D6556">
      <w:pPr>
        <w:pStyle w:val="ListParagraph"/>
        <w:numPr>
          <w:ilvl w:val="0"/>
          <w:numId w:val="11"/>
        </w:numPr>
        <w:pBdr>
          <w:top w:val="single" w:sz="4" w:space="1" w:color="auto"/>
          <w:bottom w:val="single" w:sz="4" w:space="1" w:color="auto"/>
        </w:pBdr>
        <w:spacing w:line="360" w:lineRule="auto"/>
        <w:rPr>
          <w:rFonts w:ascii="Circular Std Book" w:hAnsi="Circular Std Book" w:cs="Circular Std Book"/>
        </w:rPr>
      </w:pPr>
      <w:r w:rsidRPr="00831AB7">
        <w:rPr>
          <w:rFonts w:ascii="Circular Std Book" w:hAnsi="Circular Std Book" w:cs="Circular Std Book"/>
        </w:rPr>
        <w:t xml:space="preserve">19% of employed Moonee Valley residents travel to work by public transport. </w:t>
      </w:r>
      <w:r w:rsidR="00C12A65" w:rsidRPr="00831AB7">
        <w:rPr>
          <w:rFonts w:ascii="Circular Std Book" w:hAnsi="Circular Std Book" w:cs="Circular Std Book"/>
        </w:rPr>
        <w:t>T</w:t>
      </w:r>
      <w:r w:rsidRPr="00831AB7">
        <w:rPr>
          <w:rFonts w:ascii="Circular Std Book" w:hAnsi="Circular Std Book" w:cs="Circular Std Book"/>
        </w:rPr>
        <w:t xml:space="preserve">his ranges from less than 10 per cent in Keilor East to </w:t>
      </w:r>
      <w:r w:rsidR="00B42366" w:rsidRPr="00831AB7">
        <w:rPr>
          <w:rFonts w:ascii="Circular Std Book" w:hAnsi="Circular Std Book" w:cs="Circular Std Book"/>
        </w:rPr>
        <w:t xml:space="preserve">as high as </w:t>
      </w:r>
      <w:r w:rsidRPr="00831AB7">
        <w:rPr>
          <w:rFonts w:ascii="Circular Std Book" w:hAnsi="Circular Std Book" w:cs="Circular Std Book"/>
        </w:rPr>
        <w:t xml:space="preserve">33 per cent in Flemington. </w:t>
      </w:r>
    </w:p>
    <w:p w14:paraId="5D5F4124" w14:textId="77777777" w:rsidR="00932D1D" w:rsidRPr="00831AB7" w:rsidRDefault="00B42366" w:rsidP="008D6556">
      <w:pPr>
        <w:pStyle w:val="ListParagraph"/>
        <w:numPr>
          <w:ilvl w:val="0"/>
          <w:numId w:val="11"/>
        </w:numPr>
        <w:pBdr>
          <w:top w:val="single" w:sz="4" w:space="1" w:color="auto"/>
          <w:bottom w:val="single" w:sz="4" w:space="1" w:color="auto"/>
        </w:pBdr>
        <w:spacing w:line="360" w:lineRule="auto"/>
        <w:rPr>
          <w:rFonts w:ascii="Circular Std Book" w:hAnsi="Circular Std Book" w:cs="Circular Std Book"/>
        </w:rPr>
      </w:pPr>
      <w:r w:rsidRPr="00831AB7">
        <w:rPr>
          <w:rFonts w:ascii="Circular Std Book" w:hAnsi="Circular Std Book" w:cs="Circular Std Book"/>
        </w:rPr>
        <w:t>Areas</w:t>
      </w:r>
      <w:r w:rsidR="00C2393B" w:rsidRPr="00831AB7">
        <w:rPr>
          <w:rFonts w:ascii="Circular Std Book" w:hAnsi="Circular Std Book" w:cs="Circular Std Book"/>
        </w:rPr>
        <w:t xml:space="preserve"> of neighbourhood level socio-economic disadvantage in Flemington, Ascot Vale, Avondale Heights and Milleara</w:t>
      </w:r>
      <w:r w:rsidR="008424C0" w:rsidRPr="00831AB7">
        <w:rPr>
          <w:rFonts w:ascii="Circular Std Book" w:hAnsi="Circular Std Book" w:cs="Circular Std Book"/>
        </w:rPr>
        <w:t xml:space="preserve"> </w:t>
      </w:r>
    </w:p>
    <w:p w14:paraId="2A52F6F8" w14:textId="67300C7F" w:rsidR="009C63B0" w:rsidRPr="00831AB7" w:rsidRDefault="00F815DF" w:rsidP="008D6556">
      <w:pPr>
        <w:pStyle w:val="ListParagraph"/>
        <w:numPr>
          <w:ilvl w:val="0"/>
          <w:numId w:val="11"/>
        </w:numPr>
        <w:pBdr>
          <w:top w:val="single" w:sz="4" w:space="1" w:color="auto"/>
          <w:bottom w:val="single" w:sz="4" w:space="1" w:color="auto"/>
        </w:pBdr>
        <w:spacing w:line="360" w:lineRule="auto"/>
        <w:rPr>
          <w:rFonts w:ascii="Circular Std Book" w:hAnsi="Circular Std Book" w:cs="Circular Std Book"/>
        </w:rPr>
      </w:pPr>
      <w:r>
        <w:rPr>
          <w:rFonts w:ascii="Circular Std Book" w:hAnsi="Circular Std Book" w:cs="Circular Std Book"/>
        </w:rPr>
        <w:t>The areas with higher likelihood of u</w:t>
      </w:r>
      <w:r w:rsidR="009C5AD6" w:rsidRPr="00831AB7">
        <w:rPr>
          <w:rFonts w:ascii="Circular Std Book" w:hAnsi="Circular Std Book" w:cs="Circular Std Book"/>
        </w:rPr>
        <w:t>rban heat islands</w:t>
      </w:r>
      <w:r>
        <w:rPr>
          <w:rFonts w:ascii="Circular Std Book" w:hAnsi="Circular Std Book" w:cs="Circular Std Book"/>
        </w:rPr>
        <w:t xml:space="preserve"> are</w:t>
      </w:r>
      <w:r w:rsidR="00C81826" w:rsidRPr="00831AB7">
        <w:rPr>
          <w:rFonts w:ascii="Circular Std Book" w:hAnsi="Circular Std Book" w:cs="Circular Std Book"/>
        </w:rPr>
        <w:t xml:space="preserve"> in Keilor East and Milleara</w:t>
      </w:r>
    </w:p>
    <w:p w14:paraId="2DDA13A6" w14:textId="14080E96" w:rsidR="009C5AD6" w:rsidRPr="00116EEC" w:rsidRDefault="00C81826" w:rsidP="008D6556">
      <w:pPr>
        <w:pStyle w:val="ListParagraph"/>
        <w:numPr>
          <w:ilvl w:val="0"/>
          <w:numId w:val="11"/>
        </w:numPr>
        <w:pBdr>
          <w:top w:val="single" w:sz="4" w:space="1" w:color="auto"/>
          <w:bottom w:val="single" w:sz="4" w:space="1" w:color="auto"/>
        </w:pBdr>
        <w:spacing w:line="360" w:lineRule="auto"/>
        <w:rPr>
          <w:rFonts w:ascii="Circular Std Book" w:hAnsi="Circular Std Book" w:cs="Circular Std Book"/>
        </w:rPr>
      </w:pPr>
      <w:r w:rsidRPr="00116EEC">
        <w:rPr>
          <w:rFonts w:ascii="Circular Std Book" w:hAnsi="Circular Std Book" w:cs="Circular Std Book"/>
        </w:rPr>
        <w:t xml:space="preserve">Accessibility to open spaces and infrastructure </w:t>
      </w:r>
      <w:r w:rsidR="00116EEC" w:rsidRPr="00116EEC">
        <w:rPr>
          <w:rFonts w:ascii="Circular Std Book" w:hAnsi="Circular Std Book" w:cs="Circular Std Book"/>
        </w:rPr>
        <w:t>concentrated around the Eastern areas of the municipality (e.g. Moonee Ponds, Essendon, Ascot Vale)</w:t>
      </w:r>
    </w:p>
    <w:p w14:paraId="39FC44D1" w14:textId="1DE8C684" w:rsidR="00612C3A" w:rsidRDefault="00612C3A" w:rsidP="006A3D19">
      <w:pPr>
        <w:rPr>
          <w:rFonts w:cs="Arial"/>
        </w:rPr>
      </w:pPr>
    </w:p>
    <w:p w14:paraId="06147F76" w14:textId="6DC3CB2A" w:rsidR="00612C3A" w:rsidRDefault="00612C3A" w:rsidP="00612C3A">
      <w:pPr>
        <w:jc w:val="center"/>
        <w:rPr>
          <w:rFonts w:cs="Arial"/>
        </w:rPr>
      </w:pPr>
      <w:r>
        <w:rPr>
          <w:rFonts w:cs="Arial"/>
          <w:noProof/>
        </w:rPr>
        <w:drawing>
          <wp:inline distT="0" distB="0" distL="0" distR="0" wp14:anchorId="0B55F329" wp14:editId="2CBFF117">
            <wp:extent cx="4618438" cy="3219323"/>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09FDC.tmp"/>
                    <pic:cNvPicPr/>
                  </pic:nvPicPr>
                  <pic:blipFill>
                    <a:blip r:embed="rId76">
                      <a:extLst>
                        <a:ext uri="{28A0092B-C50C-407E-A947-70E740481C1C}">
                          <a14:useLocalDpi xmlns:a14="http://schemas.microsoft.com/office/drawing/2010/main" val="0"/>
                        </a:ext>
                      </a:extLst>
                    </a:blip>
                    <a:stretch>
                      <a:fillRect/>
                    </a:stretch>
                  </pic:blipFill>
                  <pic:spPr>
                    <a:xfrm>
                      <a:off x="0" y="0"/>
                      <a:ext cx="4630993" cy="3228074"/>
                    </a:xfrm>
                    <a:prstGeom prst="rect">
                      <a:avLst/>
                    </a:prstGeom>
                  </pic:spPr>
                </pic:pic>
              </a:graphicData>
            </a:graphic>
          </wp:inline>
        </w:drawing>
      </w:r>
    </w:p>
    <w:p w14:paraId="69E009EA" w14:textId="6FD10645" w:rsidR="00F5144E" w:rsidRDefault="003A1616" w:rsidP="00041E7C">
      <w:pPr>
        <w:rPr>
          <w:rFonts w:cs="Arial"/>
        </w:rPr>
      </w:pPr>
      <w:r w:rsidRPr="00B2525C">
        <w:rPr>
          <w:rFonts w:cs="Arial"/>
        </w:rPr>
        <w:lastRenderedPageBreak/>
        <w:t>The health and wellbeing</w:t>
      </w:r>
      <w:r w:rsidR="00F5144E" w:rsidRPr="00B2525C">
        <w:rPr>
          <w:rFonts w:cs="Arial"/>
        </w:rPr>
        <w:t xml:space="preserve"> </w:t>
      </w:r>
      <w:r w:rsidRPr="00B2525C">
        <w:rPr>
          <w:rFonts w:cs="Arial"/>
        </w:rPr>
        <w:t>of individuals and communities is often determined by the natural</w:t>
      </w:r>
      <w:r w:rsidR="00F5144E" w:rsidRPr="00B2525C">
        <w:rPr>
          <w:rFonts w:cs="Arial"/>
        </w:rPr>
        <w:t xml:space="preserve"> and </w:t>
      </w:r>
      <w:r w:rsidRPr="00B2525C">
        <w:rPr>
          <w:rFonts w:cs="Arial"/>
        </w:rPr>
        <w:t xml:space="preserve">built environment that surrounds them. </w:t>
      </w:r>
      <w:r w:rsidR="00F5144E" w:rsidRPr="00B2525C">
        <w:rPr>
          <w:rFonts w:cs="Arial"/>
        </w:rPr>
        <w:t xml:space="preserve">For example, highly connected street networks and diverse land-uses have all been linked to increased levels of physical activity and lower rates of obesity and morbidity </w:t>
      </w:r>
      <w:r w:rsidR="00F36A03">
        <w:rPr>
          <w:rFonts w:cs="Arial"/>
        </w:rPr>
        <w:t>including from</w:t>
      </w:r>
      <w:r w:rsidR="00F5144E" w:rsidRPr="00B2525C">
        <w:rPr>
          <w:rFonts w:cs="Arial"/>
        </w:rPr>
        <w:t xml:space="preserve"> heart disease and type-2 diabetes</w:t>
      </w:r>
      <w:r w:rsidR="00041E7C" w:rsidRPr="00B2525C">
        <w:rPr>
          <w:rFonts w:cs="Arial"/>
        </w:rPr>
        <w:t xml:space="preserve"> (Brown et al, 2009; Ewing &amp; Cervero, 2010). </w:t>
      </w:r>
      <w:r w:rsidR="00F5144E" w:rsidRPr="00B2525C">
        <w:rPr>
          <w:rFonts w:cs="Arial"/>
        </w:rPr>
        <w:t>Similarly, public parks and gardens</w:t>
      </w:r>
      <w:r w:rsidR="00F36A03">
        <w:rPr>
          <w:rFonts w:cs="Arial"/>
        </w:rPr>
        <w:t xml:space="preserve"> </w:t>
      </w:r>
      <w:r w:rsidR="00F5144E" w:rsidRPr="00B2525C">
        <w:rPr>
          <w:rFonts w:cs="Arial"/>
        </w:rPr>
        <w:t>can promote better physical</w:t>
      </w:r>
      <w:r w:rsidR="00F36A03">
        <w:rPr>
          <w:rFonts w:cs="Arial"/>
        </w:rPr>
        <w:t xml:space="preserve"> and mental</w:t>
      </w:r>
      <w:r w:rsidR="00F5144E" w:rsidRPr="00B2525C">
        <w:rPr>
          <w:rFonts w:cs="Arial"/>
        </w:rPr>
        <w:t xml:space="preserve"> health</w:t>
      </w:r>
      <w:r w:rsidR="00F36A03">
        <w:rPr>
          <w:rFonts w:cs="Arial"/>
        </w:rPr>
        <w:t xml:space="preserve"> </w:t>
      </w:r>
      <w:r w:rsidR="00F5144E" w:rsidRPr="00B2525C">
        <w:rPr>
          <w:rFonts w:cs="Arial"/>
        </w:rPr>
        <w:t>by increasing levels of physical activity and reducing stress</w:t>
      </w:r>
      <w:r w:rsidR="00F36A03">
        <w:rPr>
          <w:rFonts w:cs="Arial"/>
        </w:rPr>
        <w:t xml:space="preserve"> </w:t>
      </w:r>
      <w:r w:rsidR="00041E7C" w:rsidRPr="00B2525C">
        <w:rPr>
          <w:rFonts w:cs="Arial"/>
        </w:rPr>
        <w:t>(</w:t>
      </w:r>
      <w:proofErr w:type="spellStart"/>
      <w:r w:rsidR="00041E7C" w:rsidRPr="00B2525C">
        <w:rPr>
          <w:rFonts w:cs="Arial"/>
        </w:rPr>
        <w:t>Guite</w:t>
      </w:r>
      <w:proofErr w:type="spellEnd"/>
      <w:r w:rsidR="00041E7C" w:rsidRPr="00B2525C">
        <w:rPr>
          <w:rFonts w:cs="Arial"/>
        </w:rPr>
        <w:t xml:space="preserve"> et al, 2006)</w:t>
      </w:r>
      <w:r w:rsidR="00F36A03">
        <w:rPr>
          <w:rFonts w:cs="Arial"/>
        </w:rPr>
        <w:t>. The</w:t>
      </w:r>
      <w:r w:rsidR="00F5144E" w:rsidRPr="00B2525C">
        <w:rPr>
          <w:rFonts w:cs="Arial"/>
        </w:rPr>
        <w:t xml:space="preserve"> design of the built environment can </w:t>
      </w:r>
      <w:r w:rsidR="00F36A03">
        <w:rPr>
          <w:rFonts w:cs="Arial"/>
        </w:rPr>
        <w:t xml:space="preserve">also </w:t>
      </w:r>
      <w:r w:rsidR="00F5144E" w:rsidRPr="00B2525C">
        <w:rPr>
          <w:rFonts w:cs="Arial"/>
        </w:rPr>
        <w:t>influence crime and perceptions of safety</w:t>
      </w:r>
      <w:r w:rsidR="00273221" w:rsidRPr="00B2525C">
        <w:rPr>
          <w:rFonts w:cs="Arial"/>
        </w:rPr>
        <w:t xml:space="preserve"> (Hong &amp; Chen, 2014)</w:t>
      </w:r>
      <w:r w:rsidR="00F5144E" w:rsidRPr="00B2525C">
        <w:rPr>
          <w:rFonts w:cs="Arial"/>
        </w:rPr>
        <w:t>.</w:t>
      </w:r>
    </w:p>
    <w:p w14:paraId="52E93863" w14:textId="77777777" w:rsidR="00F36A03" w:rsidRPr="00B2525C" w:rsidRDefault="00F36A03" w:rsidP="00041E7C">
      <w:pPr>
        <w:rPr>
          <w:rFonts w:cs="Arial"/>
        </w:rPr>
      </w:pPr>
    </w:p>
    <w:p w14:paraId="22807ACA" w14:textId="77777777" w:rsidR="004A1574" w:rsidRPr="00B2525C" w:rsidRDefault="004A1574" w:rsidP="004A1574">
      <w:pPr>
        <w:pStyle w:val="Heading2"/>
        <w:rPr>
          <w:rFonts w:cs="Arial"/>
        </w:rPr>
      </w:pPr>
      <w:bookmarkStart w:id="45" w:name="heat-vulnerability-index"/>
      <w:r w:rsidRPr="00B2525C">
        <w:rPr>
          <w:rFonts w:cs="Arial"/>
        </w:rPr>
        <w:t>Climate stability and impact on health</w:t>
      </w:r>
    </w:p>
    <w:p w14:paraId="35F369F4" w14:textId="77777777" w:rsidR="008D6556" w:rsidRDefault="008D6556" w:rsidP="00B7223A">
      <w:pPr>
        <w:rPr>
          <w:rFonts w:cs="Arial"/>
        </w:rPr>
      </w:pPr>
    </w:p>
    <w:p w14:paraId="563495EC" w14:textId="395C502F" w:rsidR="00746E6D" w:rsidRPr="00B2525C" w:rsidRDefault="001F6383" w:rsidP="00B7223A">
      <w:pPr>
        <w:rPr>
          <w:rFonts w:cs="Arial"/>
        </w:rPr>
      </w:pPr>
      <w:r w:rsidRPr="00B2525C">
        <w:rPr>
          <w:rFonts w:cs="Arial"/>
        </w:rPr>
        <w:t>Climate change has been declared as ‘the biggest global health threat of the 21</w:t>
      </w:r>
      <w:r w:rsidRPr="00B2525C">
        <w:rPr>
          <w:rFonts w:cs="Arial"/>
          <w:vertAlign w:val="superscript"/>
        </w:rPr>
        <w:t>st</w:t>
      </w:r>
      <w:r w:rsidRPr="00B2525C">
        <w:rPr>
          <w:rFonts w:cs="Arial"/>
        </w:rPr>
        <w:t xml:space="preserve"> century’</w:t>
      </w:r>
      <w:r w:rsidR="00041E7C" w:rsidRPr="00B2525C">
        <w:rPr>
          <w:rFonts w:cs="Arial"/>
        </w:rPr>
        <w:t xml:space="preserve"> (Costello et al, 2009)</w:t>
      </w:r>
      <w:r w:rsidR="00273221" w:rsidRPr="00B2525C">
        <w:rPr>
          <w:rFonts w:cs="Arial"/>
        </w:rPr>
        <w:t xml:space="preserve">. </w:t>
      </w:r>
      <w:r w:rsidR="004A1574" w:rsidRPr="00B2525C">
        <w:rPr>
          <w:rFonts w:cs="Arial"/>
        </w:rPr>
        <w:t xml:space="preserve">A changing climate and extreme weather events may have direct or indirect population health and wellbeing impacts. The </w:t>
      </w:r>
      <w:r w:rsidR="006A38BC" w:rsidRPr="00B2525C">
        <w:rPr>
          <w:rFonts w:cs="Arial"/>
        </w:rPr>
        <w:t xml:space="preserve">2016, </w:t>
      </w:r>
      <w:r w:rsidR="004A1574" w:rsidRPr="00B2525C">
        <w:rPr>
          <w:rFonts w:cs="Arial"/>
        </w:rPr>
        <w:t xml:space="preserve">US </w:t>
      </w:r>
      <w:r w:rsidR="006A38BC" w:rsidRPr="00B2525C">
        <w:rPr>
          <w:rFonts w:cs="Arial"/>
        </w:rPr>
        <w:t>G</w:t>
      </w:r>
      <w:r w:rsidR="004A1574" w:rsidRPr="00B2525C">
        <w:rPr>
          <w:rFonts w:cs="Arial"/>
        </w:rPr>
        <w:t xml:space="preserve">lobal </w:t>
      </w:r>
      <w:r w:rsidR="006A38BC" w:rsidRPr="00B2525C">
        <w:rPr>
          <w:rFonts w:cs="Arial"/>
        </w:rPr>
        <w:t>C</w:t>
      </w:r>
      <w:r w:rsidR="004A1574" w:rsidRPr="00B2525C">
        <w:rPr>
          <w:rFonts w:cs="Arial"/>
        </w:rPr>
        <w:t xml:space="preserve">hange </w:t>
      </w:r>
      <w:r w:rsidR="006A38BC" w:rsidRPr="00B2525C">
        <w:rPr>
          <w:rFonts w:cs="Arial"/>
        </w:rPr>
        <w:t>R</w:t>
      </w:r>
      <w:r w:rsidR="004A1574" w:rsidRPr="00B2525C">
        <w:rPr>
          <w:rFonts w:cs="Arial"/>
        </w:rPr>
        <w:t xml:space="preserve">esearch </w:t>
      </w:r>
      <w:r w:rsidR="006A38BC" w:rsidRPr="00B2525C">
        <w:rPr>
          <w:rFonts w:cs="Arial"/>
        </w:rPr>
        <w:t>P</w:t>
      </w:r>
      <w:r w:rsidR="004A1574" w:rsidRPr="00B2525C">
        <w:rPr>
          <w:rFonts w:cs="Arial"/>
        </w:rPr>
        <w:t>rogram summari</w:t>
      </w:r>
      <w:r w:rsidR="00F815DF">
        <w:rPr>
          <w:rFonts w:cs="Arial"/>
        </w:rPr>
        <w:t>s</w:t>
      </w:r>
      <w:r w:rsidR="004A1574" w:rsidRPr="00B2525C">
        <w:rPr>
          <w:rFonts w:cs="Arial"/>
        </w:rPr>
        <w:t>es:</w:t>
      </w:r>
      <w:r w:rsidR="0029000B" w:rsidRPr="00B2525C">
        <w:rPr>
          <w:rFonts w:cs="Arial"/>
        </w:rPr>
        <w:t xml:space="preserve"> </w:t>
      </w:r>
    </w:p>
    <w:p w14:paraId="3A68683C" w14:textId="77777777" w:rsidR="004A1574" w:rsidRPr="00B2525C" w:rsidRDefault="004A1574" w:rsidP="00746E6D">
      <w:pPr>
        <w:pStyle w:val="Quote"/>
        <w:rPr>
          <w:rFonts w:cs="Arial"/>
        </w:rPr>
      </w:pPr>
      <w:r w:rsidRPr="00B2525C">
        <w:rPr>
          <w:rStyle w:val="QuoteChar"/>
          <w:rFonts w:cs="Arial"/>
        </w:rPr>
        <w:t xml:space="preserve">“Rising greenhouse gas concentrations result in increases in temperature, changes in precipitation, increases in the frequency and intensity of some extreme weather events, and rising sea levels. These climate change impacts endanger our health by affecting our food and water sources, the air we breathe, the weather we experience, and our interactions with the built and natural environments. As the climate continues to change, the risks to human health continue to grow” </w:t>
      </w:r>
      <w:r w:rsidR="00273221" w:rsidRPr="00B2525C">
        <w:rPr>
          <w:rStyle w:val="QuoteChar"/>
          <w:rFonts w:cs="Arial"/>
        </w:rPr>
        <w:t>(Kim, 2016)</w:t>
      </w:r>
      <w:r w:rsidR="00B7223A" w:rsidRPr="00B2525C">
        <w:rPr>
          <w:rStyle w:val="QuoteChar"/>
          <w:rFonts w:cs="Arial"/>
        </w:rPr>
        <w:t>.</w:t>
      </w:r>
    </w:p>
    <w:p w14:paraId="5273960B" w14:textId="77777777" w:rsidR="008D6556" w:rsidRDefault="008D6556" w:rsidP="004A1574">
      <w:pPr>
        <w:rPr>
          <w:rFonts w:cs="Arial"/>
        </w:rPr>
      </w:pPr>
    </w:p>
    <w:p w14:paraId="37501271" w14:textId="77777777" w:rsidR="00F36A03" w:rsidRPr="00B2525C" w:rsidRDefault="00F36A03" w:rsidP="00F36A03">
      <w:pPr>
        <w:rPr>
          <w:rFonts w:eastAsia="Times New Roman" w:cs="Arial"/>
          <w:lang w:eastAsia="en-AU"/>
        </w:rPr>
      </w:pPr>
      <w:r w:rsidRPr="00B2525C">
        <w:rPr>
          <w:rFonts w:cs="Arial"/>
        </w:rPr>
        <w:t xml:space="preserve">The Victorian Government lists a number of key concerns and impacts of </w:t>
      </w:r>
      <w:r w:rsidRPr="00B2525C">
        <w:rPr>
          <w:rFonts w:eastAsia="Times New Roman" w:cs="Arial"/>
          <w:lang w:eastAsia="en-AU"/>
        </w:rPr>
        <w:t xml:space="preserve">climate change for the Health and Human Service system in Victoria (Department of Health, 2021): </w:t>
      </w:r>
    </w:p>
    <w:p w14:paraId="15E048DA" w14:textId="009FD2E3" w:rsidR="00F36A03" w:rsidRPr="008D6556" w:rsidRDefault="00F36A03" w:rsidP="00F36A03">
      <w:pPr>
        <w:pStyle w:val="ListParagraph"/>
        <w:numPr>
          <w:ilvl w:val="0"/>
          <w:numId w:val="35"/>
        </w:numPr>
        <w:rPr>
          <w:rFonts w:ascii="Circular Std Book" w:hAnsi="Circular Std Book" w:cs="Circular Std Book"/>
          <w:lang w:eastAsia="en-AU"/>
        </w:rPr>
      </w:pPr>
      <w:r w:rsidRPr="008D6556">
        <w:rPr>
          <w:rFonts w:ascii="Circular Std Book" w:hAnsi="Circular Std Book" w:cs="Circular Std Book"/>
          <w:lang w:eastAsia="en-AU"/>
        </w:rPr>
        <w:t>Direct impacts to health and wellbeing from extreme weather events (e.g. bushfire, flood, drought, heat wave, etc)</w:t>
      </w:r>
    </w:p>
    <w:p w14:paraId="585797D4" w14:textId="158B58B3" w:rsidR="00F36A03" w:rsidRPr="008D6556" w:rsidRDefault="00F36A03" w:rsidP="00F36A03">
      <w:pPr>
        <w:pStyle w:val="ListParagraph"/>
        <w:numPr>
          <w:ilvl w:val="0"/>
          <w:numId w:val="35"/>
        </w:numPr>
        <w:rPr>
          <w:rFonts w:ascii="Circular Std Book" w:hAnsi="Circular Std Book" w:cs="Circular Std Book"/>
          <w:lang w:eastAsia="en-AU"/>
        </w:rPr>
      </w:pPr>
      <w:r w:rsidRPr="008D6556">
        <w:rPr>
          <w:rFonts w:ascii="Circular Std Book" w:hAnsi="Circular Std Book" w:cs="Circular Std Book"/>
          <w:lang w:eastAsia="en-AU"/>
        </w:rPr>
        <w:t>Indirect impacts to health and wellbeing (e.g. vector borne, water borne, food borne, zoonotic disease</w:t>
      </w:r>
      <w:r w:rsidR="00D73561">
        <w:rPr>
          <w:rFonts w:ascii="Circular Std Book" w:hAnsi="Circular Std Book" w:cs="Circular Std Book"/>
          <w:lang w:eastAsia="en-AU"/>
        </w:rPr>
        <w:t>)</w:t>
      </w:r>
    </w:p>
    <w:p w14:paraId="3368888B" w14:textId="1DD68117" w:rsidR="00F36A03" w:rsidRPr="008D6556" w:rsidRDefault="00F36A03" w:rsidP="00F36A03">
      <w:pPr>
        <w:pStyle w:val="ListParagraph"/>
        <w:numPr>
          <w:ilvl w:val="0"/>
          <w:numId w:val="35"/>
        </w:numPr>
        <w:rPr>
          <w:rFonts w:ascii="Circular Std Book" w:hAnsi="Circular Std Book" w:cs="Circular Std Book"/>
          <w:lang w:eastAsia="en-AU"/>
        </w:rPr>
      </w:pPr>
      <w:r w:rsidRPr="008D6556">
        <w:rPr>
          <w:rFonts w:ascii="Circular Std Book" w:hAnsi="Circular Std Book" w:cs="Circular Std Book"/>
          <w:lang w:eastAsia="en-AU"/>
        </w:rPr>
        <w:t>Impacts on determinants of health and wellbeing such as employment, income, access to health and human services</w:t>
      </w:r>
    </w:p>
    <w:p w14:paraId="4C4AFEE2" w14:textId="77777777" w:rsidR="00F36A03" w:rsidRPr="008D6556" w:rsidRDefault="00F36A03" w:rsidP="00F36A03">
      <w:pPr>
        <w:pStyle w:val="ListParagraph"/>
        <w:numPr>
          <w:ilvl w:val="0"/>
          <w:numId w:val="35"/>
        </w:numPr>
        <w:rPr>
          <w:rFonts w:ascii="Circular Std Book" w:hAnsi="Circular Std Book" w:cs="Circular Std Book"/>
          <w:lang w:eastAsia="en-AU"/>
        </w:rPr>
      </w:pPr>
      <w:r w:rsidRPr="008D6556">
        <w:rPr>
          <w:rFonts w:ascii="Circular Std Book" w:hAnsi="Circular Std Book" w:cs="Circular Std Book"/>
          <w:lang w:eastAsia="en-AU"/>
        </w:rPr>
        <w:t xml:space="preserve">Disproportionate impacts on different communities, genders, </w:t>
      </w:r>
      <w:r w:rsidR="00EB7E00">
        <w:rPr>
          <w:rFonts w:ascii="Circular Std Book" w:hAnsi="Circular Std Book" w:cs="Circular Std Book"/>
          <w:lang w:eastAsia="en-AU"/>
        </w:rPr>
        <w:t xml:space="preserve">and </w:t>
      </w:r>
      <w:r w:rsidRPr="008D6556">
        <w:rPr>
          <w:rFonts w:ascii="Circular Std Book" w:hAnsi="Circular Std Book" w:cs="Circular Std Book"/>
          <w:lang w:eastAsia="en-AU"/>
        </w:rPr>
        <w:t>age groups</w:t>
      </w:r>
    </w:p>
    <w:p w14:paraId="7420FB64" w14:textId="49231813" w:rsidR="00F36A03" w:rsidRPr="008D6556" w:rsidRDefault="00F36A03" w:rsidP="00F36A03">
      <w:pPr>
        <w:pStyle w:val="ListParagraph"/>
        <w:numPr>
          <w:ilvl w:val="0"/>
          <w:numId w:val="35"/>
        </w:numPr>
        <w:rPr>
          <w:rFonts w:ascii="Circular Std Book" w:hAnsi="Circular Std Book" w:cs="Circular Std Book"/>
          <w:lang w:eastAsia="en-AU"/>
        </w:rPr>
      </w:pPr>
      <w:r w:rsidRPr="008D6556">
        <w:rPr>
          <w:rFonts w:ascii="Circular Std Book" w:hAnsi="Circular Std Book" w:cs="Circular Std Book"/>
          <w:lang w:eastAsia="en-AU"/>
        </w:rPr>
        <w:t>Disruption to service delivery</w:t>
      </w:r>
    </w:p>
    <w:p w14:paraId="30591C9F" w14:textId="77777777" w:rsidR="00F36A03" w:rsidRPr="00F36A03" w:rsidRDefault="00F36A03" w:rsidP="00F36A03">
      <w:pPr>
        <w:pStyle w:val="ListParagraph"/>
        <w:numPr>
          <w:ilvl w:val="0"/>
          <w:numId w:val="35"/>
        </w:numPr>
        <w:rPr>
          <w:rFonts w:ascii="Circular Std Book" w:hAnsi="Circular Std Book" w:cs="Circular Std Book"/>
        </w:rPr>
      </w:pPr>
      <w:r w:rsidRPr="00F36A03">
        <w:rPr>
          <w:rFonts w:ascii="Circular Std Book" w:hAnsi="Circular Std Book" w:cs="Circular Std Book"/>
          <w:lang w:eastAsia="en-AU"/>
        </w:rPr>
        <w:t>Damage to infrastructure (e.g. hospitals and housing)</w:t>
      </w:r>
    </w:p>
    <w:p w14:paraId="65ABCBD0" w14:textId="77777777" w:rsidR="00F36A03" w:rsidRDefault="00F36A03" w:rsidP="004A1574">
      <w:pPr>
        <w:rPr>
          <w:rFonts w:cs="Arial"/>
        </w:rPr>
      </w:pPr>
    </w:p>
    <w:p w14:paraId="0AB6D26B" w14:textId="1A6AA771" w:rsidR="004A1574" w:rsidRPr="00B2525C" w:rsidRDefault="00D73561" w:rsidP="004A1574">
      <w:pPr>
        <w:rPr>
          <w:rFonts w:cs="Arial"/>
          <w:position w:val="-4"/>
          <w:sz w:val="20"/>
          <w:szCs w:val="20"/>
        </w:rPr>
      </w:pPr>
      <w:r>
        <w:rPr>
          <w:rFonts w:cs="Arial"/>
        </w:rPr>
        <w:t xml:space="preserve">Figure </w:t>
      </w:r>
      <w:r w:rsidR="00B93B84">
        <w:rPr>
          <w:rFonts w:cs="Arial"/>
        </w:rPr>
        <w:t>47</w:t>
      </w:r>
      <w:r w:rsidR="004A1574" w:rsidRPr="00B2525C">
        <w:rPr>
          <w:rFonts w:cs="Arial"/>
        </w:rPr>
        <w:t xml:space="preserve"> shows how climate change can impact on physical, mental and community health. People are more </w:t>
      </w:r>
      <w:r w:rsidR="001F6383" w:rsidRPr="00B2525C">
        <w:rPr>
          <w:rFonts w:cs="Arial"/>
        </w:rPr>
        <w:t>likely</w:t>
      </w:r>
      <w:r w:rsidR="004A1574" w:rsidRPr="00B2525C">
        <w:rPr>
          <w:rFonts w:cs="Arial"/>
        </w:rPr>
        <w:t xml:space="preserve"> to be vulnerable to climate change if they experience socio-economic disadvantage, are young children, older</w:t>
      </w:r>
      <w:r w:rsidR="006A38BC" w:rsidRPr="00B2525C">
        <w:rPr>
          <w:rFonts w:cs="Arial"/>
        </w:rPr>
        <w:t>,</w:t>
      </w:r>
      <w:r w:rsidR="004A1574" w:rsidRPr="00B2525C">
        <w:rPr>
          <w:rFonts w:cs="Arial"/>
        </w:rPr>
        <w:t xml:space="preserve"> and live with disabilities (</w:t>
      </w:r>
      <w:r w:rsidR="00273221" w:rsidRPr="00B2525C">
        <w:rPr>
          <w:rFonts w:cs="Arial"/>
        </w:rPr>
        <w:t>Kim, 2016</w:t>
      </w:r>
      <w:r w:rsidR="004A1574" w:rsidRPr="00B2525C">
        <w:rPr>
          <w:rFonts w:cs="Arial"/>
        </w:rPr>
        <w:t>).</w:t>
      </w:r>
    </w:p>
    <w:p w14:paraId="22B2FCE8" w14:textId="77777777" w:rsidR="004A1574" w:rsidRDefault="004A1574" w:rsidP="00BE2883">
      <w:pPr>
        <w:pStyle w:val="BodyText"/>
      </w:pPr>
    </w:p>
    <w:p w14:paraId="479D264C" w14:textId="77777777" w:rsidR="00F36A03" w:rsidRDefault="00F36A03" w:rsidP="00F36A03">
      <w:pPr>
        <w:pStyle w:val="BodyText"/>
        <w:ind w:left="0"/>
        <w:rPr>
          <w:b/>
        </w:rPr>
      </w:pPr>
      <w:r>
        <w:rPr>
          <w:b/>
        </w:rPr>
        <w:br w:type="page"/>
      </w:r>
    </w:p>
    <w:p w14:paraId="72D31F87" w14:textId="42D9DD5C" w:rsidR="001F1E87" w:rsidRDefault="001F1E87" w:rsidP="00F36A03">
      <w:pPr>
        <w:pStyle w:val="BodyText"/>
        <w:ind w:left="0"/>
      </w:pPr>
      <w:r w:rsidRPr="00747847">
        <w:rPr>
          <w:b/>
        </w:rPr>
        <w:lastRenderedPageBreak/>
        <w:t>Figure</w:t>
      </w:r>
      <w:r w:rsidR="00B93B84">
        <w:rPr>
          <w:b/>
        </w:rPr>
        <w:t xml:space="preserve"> 47</w:t>
      </w:r>
      <w:r w:rsidR="00B93B84">
        <w:t>. C</w:t>
      </w:r>
      <w:r w:rsidR="00747847">
        <w:t>limate change impacts on health</w:t>
      </w:r>
    </w:p>
    <w:p w14:paraId="286D69CB" w14:textId="77777777" w:rsidR="001F1E87" w:rsidRPr="00B2525C" w:rsidRDefault="001F1E87" w:rsidP="00BE2883">
      <w:pPr>
        <w:pStyle w:val="BodyText"/>
      </w:pPr>
    </w:p>
    <w:p w14:paraId="08804C05" w14:textId="77777777" w:rsidR="004A1574" w:rsidRPr="008D6556" w:rsidRDefault="004A1574" w:rsidP="00BE2883">
      <w:pPr>
        <w:pStyle w:val="BodyText"/>
        <w:rPr>
          <w:sz w:val="20"/>
          <w:szCs w:val="20"/>
        </w:rPr>
      </w:pPr>
      <w:r w:rsidRPr="00B2525C">
        <w:rPr>
          <w:noProof/>
          <w:shd w:val="clear" w:color="auto" w:fill="FFFFFF"/>
        </w:rPr>
        <w:drawing>
          <wp:inline distT="0" distB="0" distL="0" distR="0" wp14:anchorId="0201F157" wp14:editId="12F9B7AD">
            <wp:extent cx="6255801" cy="39624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6259764" cy="3964910"/>
                    </a:xfrm>
                    <a:prstGeom prst="rect">
                      <a:avLst/>
                    </a:prstGeom>
                  </pic:spPr>
                </pic:pic>
              </a:graphicData>
            </a:graphic>
          </wp:inline>
        </w:drawing>
      </w:r>
      <w:r w:rsidRPr="008D6556">
        <w:rPr>
          <w:i/>
          <w:sz w:val="20"/>
          <w:szCs w:val="20"/>
        </w:rPr>
        <w:t xml:space="preserve">source: </w:t>
      </w:r>
      <w:r w:rsidR="00273221" w:rsidRPr="008D6556">
        <w:rPr>
          <w:i/>
          <w:sz w:val="20"/>
          <w:szCs w:val="20"/>
        </w:rPr>
        <w:t xml:space="preserve">Kim, 2016. </w:t>
      </w:r>
      <w:r w:rsidRPr="008D6556">
        <w:rPr>
          <w:i/>
          <w:sz w:val="20"/>
          <w:szCs w:val="20"/>
          <w:shd w:val="clear" w:color="auto" w:fill="FFFFFF"/>
        </w:rPr>
        <w:t>https://health2016.globalchange.gov</w:t>
      </w:r>
    </w:p>
    <w:p w14:paraId="3CF102EE" w14:textId="77777777" w:rsidR="00F36A03" w:rsidRDefault="00F36A03" w:rsidP="004F69B6">
      <w:pPr>
        <w:pStyle w:val="Heading4"/>
        <w:rPr>
          <w:rFonts w:cs="Arial"/>
        </w:rPr>
      </w:pPr>
      <w:bookmarkStart w:id="46" w:name="_Hlk75944527"/>
    </w:p>
    <w:p w14:paraId="050A3743" w14:textId="77777777" w:rsidR="004F69B6" w:rsidRPr="00B2525C" w:rsidRDefault="00EB7E00" w:rsidP="004F69B6">
      <w:pPr>
        <w:pStyle w:val="Heading4"/>
        <w:rPr>
          <w:rFonts w:cs="Arial"/>
        </w:rPr>
      </w:pPr>
      <w:r>
        <w:rPr>
          <w:rFonts w:cs="Arial"/>
        </w:rPr>
        <w:t xml:space="preserve">Health impact: </w:t>
      </w:r>
      <w:r w:rsidR="004F69B6" w:rsidRPr="00B2525C">
        <w:rPr>
          <w:rFonts w:cs="Arial"/>
        </w:rPr>
        <w:t>Heat</w:t>
      </w:r>
      <w:r w:rsidR="004F69B6" w:rsidRPr="00B2525C">
        <w:rPr>
          <w:rFonts w:cs="Arial"/>
          <w:spacing w:val="-19"/>
        </w:rPr>
        <w:t xml:space="preserve"> </w:t>
      </w:r>
      <w:r w:rsidR="004F69B6" w:rsidRPr="00B2525C">
        <w:rPr>
          <w:rFonts w:cs="Arial"/>
        </w:rPr>
        <w:t>stress</w:t>
      </w:r>
    </w:p>
    <w:p w14:paraId="73F6ADCC" w14:textId="77777777" w:rsidR="004F69B6" w:rsidRPr="00B2525C" w:rsidRDefault="004F69B6" w:rsidP="004F69B6">
      <w:pPr>
        <w:rPr>
          <w:rFonts w:cs="Arial"/>
          <w:sz w:val="14"/>
        </w:rPr>
      </w:pPr>
      <w:r w:rsidRPr="00B2525C">
        <w:rPr>
          <w:rFonts w:cs="Arial"/>
        </w:rPr>
        <w:t>Poor thermal capability of housing – either too hot or too cold, can impact on health. The thermal capability of housing will become more important as extreme temperatures increase as will the need for safe public spaces. Vulnerable people, including older people, and parents with young children, and people living in public housing, may need to seek relief in council managed air- conditioned leisure centres, libraries, shopping centres, community centres and swimming pools.</w:t>
      </w:r>
    </w:p>
    <w:p w14:paraId="59766E9B" w14:textId="77777777" w:rsidR="004F69B6" w:rsidRPr="00B2525C" w:rsidRDefault="004F69B6" w:rsidP="00BE2883">
      <w:pPr>
        <w:pStyle w:val="BodyText"/>
      </w:pPr>
    </w:p>
    <w:p w14:paraId="2F7E281F" w14:textId="77777777" w:rsidR="004F69B6" w:rsidRPr="00B2525C" w:rsidRDefault="00EB7E00" w:rsidP="004F69B6">
      <w:pPr>
        <w:pStyle w:val="Heading4"/>
        <w:rPr>
          <w:rFonts w:cs="Arial"/>
        </w:rPr>
      </w:pPr>
      <w:bookmarkStart w:id="47" w:name="_bookmark80"/>
      <w:bookmarkEnd w:id="47"/>
      <w:r>
        <w:rPr>
          <w:rFonts w:cs="Arial"/>
        </w:rPr>
        <w:t xml:space="preserve">Health impact: </w:t>
      </w:r>
      <w:r w:rsidR="004F69B6" w:rsidRPr="00B2525C">
        <w:rPr>
          <w:rFonts w:cs="Arial"/>
        </w:rPr>
        <w:t>Psychological distress from extreme weather events</w:t>
      </w:r>
    </w:p>
    <w:p w14:paraId="15D5F1C0" w14:textId="77777777" w:rsidR="004F69B6" w:rsidRDefault="004F69B6" w:rsidP="004F69B6">
      <w:pPr>
        <w:rPr>
          <w:rFonts w:cs="Arial"/>
        </w:rPr>
      </w:pPr>
      <w:r w:rsidRPr="00B2525C">
        <w:rPr>
          <w:rFonts w:cs="Arial"/>
        </w:rPr>
        <w:t>In 2019 a survey by Sustainability Victoria found that most Victorians feel some level of frustration and other negative emotions when they think about climate change</w:t>
      </w:r>
      <w:r w:rsidR="00EB7E00">
        <w:rPr>
          <w:rFonts w:cs="Arial"/>
        </w:rPr>
        <w:t xml:space="preserve"> such as</w:t>
      </w:r>
      <w:r w:rsidRPr="00B2525C">
        <w:rPr>
          <w:rFonts w:cs="Arial"/>
        </w:rPr>
        <w:t xml:space="preserve"> feelings of sadness, outrage and despair. The report found that young people may be more prone to feelings of anxiety about their future than the rest of the population (Victorian Government, 2020).</w:t>
      </w:r>
    </w:p>
    <w:p w14:paraId="4BA806FA" w14:textId="77777777" w:rsidR="008D6556" w:rsidRPr="00B2525C" w:rsidRDefault="008D6556" w:rsidP="004F69B6">
      <w:pPr>
        <w:rPr>
          <w:rFonts w:cs="Arial"/>
          <w:sz w:val="14"/>
        </w:rPr>
      </w:pPr>
    </w:p>
    <w:p w14:paraId="08206F74" w14:textId="77777777" w:rsidR="004F69B6" w:rsidRPr="00B2525C" w:rsidRDefault="004F69B6" w:rsidP="004F69B6">
      <w:pPr>
        <w:rPr>
          <w:rFonts w:cs="Arial"/>
        </w:rPr>
      </w:pPr>
      <w:r w:rsidRPr="00B2525C">
        <w:rPr>
          <w:rFonts w:cs="Arial"/>
        </w:rPr>
        <w:t>The lived experience of extreme weather events such as bushfires, floods, droughts and heatwaves can contribute to anxiety, depression, post-traumatic stress disorder (PTSD), complicated grief, survivor guilt, recovery fatigue, substance abuse</w:t>
      </w:r>
      <w:r w:rsidR="00EB7E00">
        <w:rPr>
          <w:rFonts w:cs="Arial"/>
        </w:rPr>
        <w:t>,</w:t>
      </w:r>
      <w:r w:rsidRPr="00B2525C">
        <w:rPr>
          <w:rFonts w:cs="Arial"/>
        </w:rPr>
        <w:t xml:space="preserve"> and suicidal ideation (Hayes et al., 2018). </w:t>
      </w:r>
      <w:r w:rsidR="00EB7E00">
        <w:rPr>
          <w:rFonts w:cs="Arial"/>
        </w:rPr>
        <w:t>T</w:t>
      </w:r>
      <w:r w:rsidRPr="00B2525C">
        <w:rPr>
          <w:rFonts w:cs="Arial"/>
        </w:rPr>
        <w:t>he increased frequency and severity of extreme weather events is associated with an increase in family violence and abuse</w:t>
      </w:r>
      <w:r w:rsidRPr="00B2525C">
        <w:rPr>
          <w:rFonts w:cs="Arial"/>
          <w:color w:val="222222"/>
          <w:shd w:val="clear" w:color="auto" w:fill="FFFFFF"/>
        </w:rPr>
        <w:t xml:space="preserve"> </w:t>
      </w:r>
      <w:r w:rsidRPr="00B2525C">
        <w:rPr>
          <w:rFonts w:cs="Arial"/>
        </w:rPr>
        <w:t xml:space="preserve">(Sorensen et al., 2018). All these </w:t>
      </w:r>
      <w:r w:rsidRPr="00B2525C">
        <w:rPr>
          <w:rFonts w:cs="Arial"/>
        </w:rPr>
        <w:lastRenderedPageBreak/>
        <w:t>possible negative health and wellbeing consequences make climate change an important public health issue.</w:t>
      </w:r>
    </w:p>
    <w:bookmarkEnd w:id="46"/>
    <w:p w14:paraId="77328141" w14:textId="77777777" w:rsidR="009C5AD6" w:rsidRPr="00B2525C" w:rsidRDefault="009C5AD6" w:rsidP="009C5AD6">
      <w:pPr>
        <w:pStyle w:val="Heading3"/>
        <w:rPr>
          <w:rFonts w:cs="Arial"/>
        </w:rPr>
      </w:pPr>
      <w:r>
        <w:rPr>
          <w:rFonts w:cs="Arial"/>
        </w:rPr>
        <w:t>Urban Heat Islands</w:t>
      </w:r>
    </w:p>
    <w:p w14:paraId="2094651A" w14:textId="46CE9970" w:rsidR="009C5AD6" w:rsidRPr="00637618" w:rsidRDefault="009C5AD6" w:rsidP="009C5AD6">
      <w:pPr>
        <w:rPr>
          <w:rFonts w:cs="Arial"/>
          <w:highlight w:val="yellow"/>
        </w:rPr>
      </w:pPr>
      <w:r w:rsidRPr="00B2525C">
        <w:rPr>
          <w:rFonts w:cs="Arial"/>
        </w:rPr>
        <w:t>Heat islands are urbani</w:t>
      </w:r>
      <w:r w:rsidR="00C81826">
        <w:rPr>
          <w:rFonts w:cs="Arial"/>
        </w:rPr>
        <w:t>s</w:t>
      </w:r>
      <w:r w:rsidRPr="00B2525C">
        <w:rPr>
          <w:rFonts w:cs="Arial"/>
        </w:rPr>
        <w:t>ed areas that experience higher temperatures than outlying areas. Structures within the built environment such as buildings, roads, and other infrastructure absorb and re-emit the sun’s heat more than natural landscapes such as forests and bodies of water (</w:t>
      </w:r>
      <w:proofErr w:type="spellStart"/>
      <w:r w:rsidRPr="00B2525C">
        <w:rPr>
          <w:rFonts w:cs="Arial"/>
        </w:rPr>
        <w:t>Elgendawy</w:t>
      </w:r>
      <w:proofErr w:type="spellEnd"/>
      <w:r w:rsidRPr="00B2525C">
        <w:rPr>
          <w:rFonts w:cs="Arial"/>
        </w:rPr>
        <w:t xml:space="preserve"> and Davies, 2019). </w:t>
      </w:r>
      <w:r w:rsidRPr="001A6276">
        <w:t xml:space="preserve">The </w:t>
      </w:r>
      <w:r w:rsidR="00C81826">
        <w:t>Urban Heat Island (</w:t>
      </w:r>
      <w:r w:rsidRPr="001A6276">
        <w:t>UHI</w:t>
      </w:r>
      <w:r w:rsidR="00C81826">
        <w:t>)</w:t>
      </w:r>
      <w:r w:rsidRPr="001A6276">
        <w:t xml:space="preserve"> is a measure of urban temperatures relative to a </w:t>
      </w:r>
      <w:proofErr w:type="gramStart"/>
      <w:r w:rsidRPr="001A6276">
        <w:t xml:space="preserve">non-urban </w:t>
      </w:r>
      <w:r w:rsidR="00C81826">
        <w:t>areas</w:t>
      </w:r>
      <w:proofErr w:type="gramEnd"/>
      <w:r w:rsidRPr="001A6276">
        <w:t>. Native vegetated sites were used to establish the baseline</w:t>
      </w:r>
      <w:r w:rsidR="00C81826">
        <w:t xml:space="preserve"> (i.e. non-urban areas)</w:t>
      </w:r>
      <w:r w:rsidR="00C81826">
        <w:rPr>
          <w:rStyle w:val="FootnoteReference"/>
        </w:rPr>
        <w:footnoteReference w:id="4"/>
      </w:r>
      <w:r w:rsidRPr="001A6276">
        <w:t xml:space="preserve">. The 2018 urban heat data layers show how many degrees Celsius the average temperature within urban parts of each boundary area is above or below the non-urban baseline. </w:t>
      </w:r>
      <w:r w:rsidR="00C81826">
        <w:t xml:space="preserve">In Moonee Valley </w:t>
      </w:r>
      <w:r w:rsidR="00F815DF">
        <w:t xml:space="preserve">neighbourhoods </w:t>
      </w:r>
      <w:r w:rsidR="00C81826">
        <w:t xml:space="preserve">in the </w:t>
      </w:r>
      <w:r w:rsidR="00F815DF">
        <w:t>e</w:t>
      </w:r>
      <w:r w:rsidR="00C81826">
        <w:t>ast such as Keilor East and Milleara have higher temperatures.</w:t>
      </w:r>
    </w:p>
    <w:p w14:paraId="77F762B8" w14:textId="165B2D8E" w:rsidR="009C5AD6" w:rsidRPr="00831AB7" w:rsidRDefault="009C5AD6" w:rsidP="00831AB7">
      <w:pPr>
        <w:pStyle w:val="Caption"/>
        <w:rPr>
          <w:i w:val="0"/>
          <w:color w:val="000000" w:themeColor="text1"/>
          <w:sz w:val="22"/>
          <w:szCs w:val="22"/>
        </w:rPr>
      </w:pPr>
      <w:r w:rsidRPr="00831AB7">
        <w:rPr>
          <w:b/>
          <w:i w:val="0"/>
          <w:color w:val="000000" w:themeColor="text1"/>
          <w:sz w:val="22"/>
          <w:szCs w:val="22"/>
        </w:rPr>
        <w:t xml:space="preserve">Figure </w:t>
      </w:r>
      <w:r w:rsidR="00C81826" w:rsidRPr="00831AB7">
        <w:rPr>
          <w:b/>
          <w:i w:val="0"/>
          <w:color w:val="000000" w:themeColor="text1"/>
          <w:sz w:val="22"/>
          <w:szCs w:val="22"/>
        </w:rPr>
        <w:t>48</w:t>
      </w:r>
      <w:r w:rsidRPr="00831AB7">
        <w:rPr>
          <w:b/>
          <w:i w:val="0"/>
          <w:color w:val="000000" w:themeColor="text1"/>
          <w:sz w:val="22"/>
          <w:szCs w:val="22"/>
        </w:rPr>
        <w:t>.</w:t>
      </w:r>
      <w:r w:rsidR="00831AB7">
        <w:rPr>
          <w:b/>
          <w:i w:val="0"/>
          <w:color w:val="000000" w:themeColor="text1"/>
          <w:sz w:val="22"/>
          <w:szCs w:val="22"/>
        </w:rPr>
        <w:t xml:space="preserve"> </w:t>
      </w:r>
      <w:r w:rsidRPr="00831AB7">
        <w:rPr>
          <w:i w:val="0"/>
          <w:color w:val="000000" w:themeColor="text1"/>
          <w:sz w:val="22"/>
          <w:szCs w:val="22"/>
        </w:rPr>
        <w:t>Urban heat island (UHI) based on DELWP's Cooling and Greening Melbourne study</w:t>
      </w:r>
    </w:p>
    <w:p w14:paraId="20F4A033" w14:textId="77777777" w:rsidR="009C5AD6" w:rsidRPr="00B2525C" w:rsidRDefault="009C5AD6" w:rsidP="009C5AD6">
      <w:pPr>
        <w:rPr>
          <w:rFonts w:cs="Arial"/>
        </w:rPr>
      </w:pPr>
      <w:r>
        <w:rPr>
          <w:noProof/>
        </w:rPr>
        <w:drawing>
          <wp:inline distT="0" distB="0" distL="0" distR="0" wp14:anchorId="711A4AC9" wp14:editId="40CF3E1D">
            <wp:extent cx="5283200" cy="504190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05 UHI.png"/>
                    <pic:cNvPicPr/>
                  </pic:nvPicPr>
                  <pic:blipFill>
                    <a:blip r:embed="rId78">
                      <a:extLst>
                        <a:ext uri="{28A0092B-C50C-407E-A947-70E740481C1C}">
                          <a14:useLocalDpi xmlns:a14="http://schemas.microsoft.com/office/drawing/2010/main" val="0"/>
                        </a:ext>
                      </a:extLst>
                    </a:blip>
                    <a:stretch>
                      <a:fillRect/>
                    </a:stretch>
                  </pic:blipFill>
                  <pic:spPr>
                    <a:xfrm>
                      <a:off x="0" y="0"/>
                      <a:ext cx="5283200" cy="5041900"/>
                    </a:xfrm>
                    <a:prstGeom prst="rect">
                      <a:avLst/>
                    </a:prstGeom>
                  </pic:spPr>
                </pic:pic>
              </a:graphicData>
            </a:graphic>
          </wp:inline>
        </w:drawing>
      </w:r>
    </w:p>
    <w:p w14:paraId="158B23BE" w14:textId="68269B31" w:rsidR="004A1574" w:rsidRDefault="004A1574" w:rsidP="004A1574">
      <w:pPr>
        <w:pStyle w:val="Heading2"/>
        <w:rPr>
          <w:rFonts w:cs="Arial"/>
        </w:rPr>
      </w:pPr>
      <w:r w:rsidRPr="00B2525C">
        <w:rPr>
          <w:rFonts w:cs="Arial"/>
        </w:rPr>
        <w:lastRenderedPageBreak/>
        <w:t xml:space="preserve">Natural </w:t>
      </w:r>
      <w:r w:rsidR="002A53F6" w:rsidRPr="00B2525C">
        <w:rPr>
          <w:rFonts w:cs="Arial"/>
        </w:rPr>
        <w:t>e</w:t>
      </w:r>
      <w:r w:rsidRPr="00B2525C">
        <w:rPr>
          <w:rFonts w:cs="Arial"/>
        </w:rPr>
        <w:t>nvironment</w:t>
      </w:r>
    </w:p>
    <w:p w14:paraId="15E6EDC4" w14:textId="1B12F6F7" w:rsidR="00E40A00" w:rsidRPr="00E40A00" w:rsidRDefault="009C5AD6" w:rsidP="009C5AD6">
      <w:pPr>
        <w:pStyle w:val="Heading3"/>
      </w:pPr>
      <w:r>
        <w:t xml:space="preserve">Public </w:t>
      </w:r>
      <w:r w:rsidR="00831AB7">
        <w:t xml:space="preserve">green </w:t>
      </w:r>
      <w:r>
        <w:t>open space</w:t>
      </w:r>
    </w:p>
    <w:p w14:paraId="3E415765" w14:textId="727D5B18" w:rsidR="0065749B" w:rsidRPr="00831AB7" w:rsidRDefault="004A1574" w:rsidP="00041E7C">
      <w:pPr>
        <w:rPr>
          <w:rFonts w:cs="Arial"/>
        </w:rPr>
      </w:pPr>
      <w:r w:rsidRPr="00831AB7">
        <w:rPr>
          <w:rFonts w:cs="Arial"/>
          <w:lang w:eastAsia="en-AU"/>
        </w:rPr>
        <w:t>Attractive, safe and accessible open spaces have positive social, economic and environmental benefits for the community and are known to improve public health, wellbeing and quality of life.</w:t>
      </w:r>
      <w:r w:rsidR="00F5144E" w:rsidRPr="00831AB7">
        <w:rPr>
          <w:rFonts w:cs="Arial"/>
        </w:rPr>
        <w:t xml:space="preserve"> </w:t>
      </w:r>
      <w:r w:rsidR="00831AB7" w:rsidRPr="00831AB7">
        <w:rPr>
          <w:rFonts w:cs="Arial"/>
        </w:rPr>
        <w:t xml:space="preserve">Green open spaces have a positive impact on mental health, </w:t>
      </w:r>
      <w:r w:rsidR="00F815DF">
        <w:rPr>
          <w:rFonts w:cs="Arial"/>
        </w:rPr>
        <w:t>and</w:t>
      </w:r>
      <w:r w:rsidR="00831AB7" w:rsidRPr="00831AB7">
        <w:rPr>
          <w:rFonts w:cs="Arial"/>
        </w:rPr>
        <w:t xml:space="preserve"> are particularly beneficial for people living in socioeconomically disadvantaged areas (</w:t>
      </w:r>
      <w:proofErr w:type="spellStart"/>
      <w:r w:rsidR="00831AB7" w:rsidRPr="00831AB7">
        <w:rPr>
          <w:rFonts w:cs="Arial"/>
        </w:rPr>
        <w:t>Darven</w:t>
      </w:r>
      <w:proofErr w:type="spellEnd"/>
      <w:r w:rsidR="00831AB7" w:rsidRPr="00831AB7">
        <w:rPr>
          <w:rFonts w:cs="Arial"/>
        </w:rPr>
        <w:t xml:space="preserve"> et al, 2018). </w:t>
      </w:r>
      <w:r w:rsidR="009C5AD6" w:rsidRPr="00831AB7">
        <w:rPr>
          <w:rFonts w:cs="Arial"/>
        </w:rPr>
        <w:t>Public open space typically refers to areas that are publicly accessible, have some greenery, and generally support some recreational activity. This usually includes parks, sports fields and nature reserves.</w:t>
      </w:r>
      <w:r w:rsidR="00831AB7">
        <w:rPr>
          <w:rFonts w:cs="Arial"/>
        </w:rPr>
        <w:t xml:space="preserve"> </w:t>
      </w:r>
      <w:r w:rsidR="00580686">
        <w:rPr>
          <w:rFonts w:cs="Arial"/>
        </w:rPr>
        <w:t>Moonee Valley has</w:t>
      </w:r>
      <w:r w:rsidR="00746E6D" w:rsidRPr="00B2525C">
        <w:rPr>
          <w:rFonts w:cs="Arial"/>
        </w:rPr>
        <w:t xml:space="preserve"> 220 parks, gardens and open space reserves that cover around 13.6 per cent of the municipality by area (528 hectares).</w:t>
      </w:r>
      <w:r w:rsidR="00831AB7">
        <w:rPr>
          <w:rFonts w:cs="Arial"/>
        </w:rPr>
        <w:t xml:space="preserve"> The areas depicted by green shading show public green open space (figure 49).</w:t>
      </w:r>
    </w:p>
    <w:p w14:paraId="13AA366B" w14:textId="1F5EEBE3" w:rsidR="00A41E25" w:rsidRDefault="00A41E25" w:rsidP="00041E7C">
      <w:pPr>
        <w:rPr>
          <w:rFonts w:cs="Arial"/>
          <w:highlight w:val="yellow"/>
        </w:rPr>
      </w:pPr>
    </w:p>
    <w:p w14:paraId="6BC298E0" w14:textId="11F68D96" w:rsidR="004A1574" w:rsidRPr="00831AB7" w:rsidRDefault="00A41E25" w:rsidP="00831AB7">
      <w:pPr>
        <w:pStyle w:val="Caption"/>
        <w:rPr>
          <w:i w:val="0"/>
          <w:color w:val="auto"/>
          <w:sz w:val="22"/>
          <w:szCs w:val="22"/>
        </w:rPr>
      </w:pPr>
      <w:r w:rsidRPr="00831AB7">
        <w:rPr>
          <w:b/>
          <w:i w:val="0"/>
          <w:color w:val="auto"/>
          <w:sz w:val="22"/>
          <w:szCs w:val="22"/>
        </w:rPr>
        <w:t xml:space="preserve">Figure </w:t>
      </w:r>
      <w:r w:rsidR="00B93B84" w:rsidRPr="00831AB7">
        <w:rPr>
          <w:b/>
          <w:i w:val="0"/>
          <w:color w:val="auto"/>
          <w:sz w:val="22"/>
          <w:szCs w:val="22"/>
        </w:rPr>
        <w:t>4</w:t>
      </w:r>
      <w:r w:rsidR="00C81826" w:rsidRPr="00831AB7">
        <w:rPr>
          <w:b/>
          <w:i w:val="0"/>
          <w:color w:val="auto"/>
          <w:sz w:val="22"/>
          <w:szCs w:val="22"/>
        </w:rPr>
        <w:t>9</w:t>
      </w:r>
      <w:r w:rsidR="00831AB7" w:rsidRPr="00831AB7">
        <w:rPr>
          <w:b/>
          <w:i w:val="0"/>
          <w:color w:val="auto"/>
          <w:sz w:val="22"/>
          <w:szCs w:val="22"/>
        </w:rPr>
        <w:t>.</w:t>
      </w:r>
      <w:r w:rsidR="00831AB7">
        <w:rPr>
          <w:i w:val="0"/>
          <w:color w:val="auto"/>
          <w:sz w:val="22"/>
          <w:szCs w:val="22"/>
        </w:rPr>
        <w:t xml:space="preserve"> </w:t>
      </w:r>
      <w:r w:rsidRPr="00831AB7">
        <w:rPr>
          <w:i w:val="0"/>
          <w:color w:val="auto"/>
          <w:sz w:val="22"/>
          <w:szCs w:val="22"/>
        </w:rPr>
        <w:t>Public open space</w:t>
      </w:r>
    </w:p>
    <w:p w14:paraId="321AE20F" w14:textId="53622156" w:rsidR="00A41E25" w:rsidRPr="00B2525C" w:rsidRDefault="00A41E25" w:rsidP="004A1574">
      <w:pPr>
        <w:rPr>
          <w:rFonts w:cs="Arial"/>
        </w:rPr>
      </w:pPr>
      <w:r>
        <w:rPr>
          <w:noProof/>
        </w:rPr>
        <w:drawing>
          <wp:inline distT="0" distB="0" distL="0" distR="0" wp14:anchorId="76A5CC10" wp14:editId="51926A43">
            <wp:extent cx="5731510" cy="573151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7 PublicLand.png"/>
                    <pic:cNvPicPr/>
                  </pic:nvPicPr>
                  <pic:blipFill>
                    <a:blip r:embed="rId7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2E860B1" w14:textId="77777777" w:rsidR="00746E6D" w:rsidRPr="00B2525C" w:rsidRDefault="00746E6D" w:rsidP="00746E6D">
      <w:pPr>
        <w:pStyle w:val="Heading3"/>
        <w:rPr>
          <w:rFonts w:cs="Arial"/>
        </w:rPr>
      </w:pPr>
      <w:bookmarkStart w:id="48" w:name="open-space"/>
      <w:r w:rsidRPr="00B2525C">
        <w:rPr>
          <w:rFonts w:cs="Arial"/>
        </w:rPr>
        <w:lastRenderedPageBreak/>
        <w:t>Tree canopy cover</w:t>
      </w:r>
    </w:p>
    <w:p w14:paraId="77D214E7" w14:textId="3D81D600" w:rsidR="0065749B" w:rsidRPr="00B2525C" w:rsidRDefault="0065749B" w:rsidP="00041E7C">
      <w:pPr>
        <w:rPr>
          <w:rFonts w:cs="Arial"/>
          <w:highlight w:val="yellow"/>
        </w:rPr>
      </w:pPr>
      <w:r w:rsidRPr="00B2525C">
        <w:rPr>
          <w:rFonts w:cs="Arial"/>
        </w:rPr>
        <w:t xml:space="preserve">Tree cover canopy can reduce health impacts of heat waves, as well as reducing UV exposure.  In 2018, the tree canopy cover was </w:t>
      </w:r>
      <w:r w:rsidR="00580686">
        <w:rPr>
          <w:rFonts w:cs="Arial"/>
        </w:rPr>
        <w:t>17 per cent</w:t>
      </w:r>
      <w:r w:rsidR="00F815DF">
        <w:rPr>
          <w:rFonts w:cs="Arial"/>
        </w:rPr>
        <w:t xml:space="preserve"> of total land area</w:t>
      </w:r>
      <w:r w:rsidR="00580686">
        <w:rPr>
          <w:rFonts w:cs="Arial"/>
        </w:rPr>
        <w:t xml:space="preserve">. </w:t>
      </w:r>
      <w:r w:rsidRPr="00B2525C">
        <w:rPr>
          <w:rFonts w:cs="Arial"/>
        </w:rPr>
        <w:t xml:space="preserve">Airport </w:t>
      </w:r>
      <w:r w:rsidR="00B7223A" w:rsidRPr="00B2525C">
        <w:rPr>
          <w:rFonts w:cs="Arial"/>
        </w:rPr>
        <w:t>W</w:t>
      </w:r>
      <w:r w:rsidRPr="00B2525C">
        <w:rPr>
          <w:rFonts w:cs="Arial"/>
        </w:rPr>
        <w:t>est and Keilor East had the lowest proportion of green canopy cover in 2018, and Strathmore had the highest.</w:t>
      </w:r>
    </w:p>
    <w:p w14:paraId="3FE3857B" w14:textId="4AA2828C" w:rsidR="00540EEB" w:rsidRDefault="00540EEB" w:rsidP="00540EEB">
      <w:pPr>
        <w:pStyle w:val="Caption"/>
        <w:jc w:val="center"/>
      </w:pPr>
      <w:r>
        <w:t>Figure</w:t>
      </w:r>
      <w:r w:rsidR="00B93B84">
        <w:t xml:space="preserve"> </w:t>
      </w:r>
      <w:r w:rsidR="00C81826">
        <w:t>50</w:t>
      </w:r>
      <w:r>
        <w:t>– 2018 tree canopy cover estimates by neighbourhood catchment</w:t>
      </w:r>
    </w:p>
    <w:p w14:paraId="5178E15F" w14:textId="77777777" w:rsidR="00746E6D" w:rsidRPr="00B2525C" w:rsidRDefault="00746E6D" w:rsidP="00746E6D">
      <w:pPr>
        <w:rPr>
          <w:rFonts w:cs="Arial"/>
        </w:rPr>
      </w:pPr>
    </w:p>
    <w:p w14:paraId="256AD24E" w14:textId="3B02A240" w:rsidR="00746E6D" w:rsidRPr="00B2525C" w:rsidRDefault="00540EEB" w:rsidP="00746E6D">
      <w:pPr>
        <w:rPr>
          <w:rFonts w:cs="Arial"/>
        </w:rPr>
      </w:pPr>
      <w:r>
        <w:rPr>
          <w:noProof/>
        </w:rPr>
        <w:drawing>
          <wp:inline distT="0" distB="0" distL="0" distR="0" wp14:anchorId="6F175414" wp14:editId="6D017381">
            <wp:extent cx="5731510" cy="5731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04 Canopy.png"/>
                    <pic:cNvPicPr/>
                  </pic:nvPicPr>
                  <pic:blipFill>
                    <a:blip r:embed="rId8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E12B72E" w14:textId="26981ACE" w:rsidR="00746E6D" w:rsidRPr="00B2525C" w:rsidRDefault="00746E6D" w:rsidP="00746E6D">
      <w:pPr>
        <w:rPr>
          <w:rFonts w:cs="Arial"/>
        </w:rPr>
      </w:pPr>
    </w:p>
    <w:p w14:paraId="7F0A2611" w14:textId="77777777" w:rsidR="00746E6D" w:rsidRPr="00B2525C" w:rsidRDefault="00746E6D" w:rsidP="00746E6D">
      <w:pPr>
        <w:rPr>
          <w:rFonts w:cs="Arial"/>
        </w:rPr>
      </w:pPr>
    </w:p>
    <w:p w14:paraId="43634985" w14:textId="77777777" w:rsidR="00746E6D" w:rsidRPr="00B2525C" w:rsidRDefault="00746E6D" w:rsidP="00746E6D">
      <w:pPr>
        <w:rPr>
          <w:rFonts w:cs="Arial"/>
        </w:rPr>
      </w:pPr>
      <w:r w:rsidRPr="00B2525C">
        <w:rPr>
          <w:rFonts w:cs="Arial"/>
        </w:rPr>
        <w:t xml:space="preserve"> </w:t>
      </w:r>
      <w:r w:rsidRPr="00B2525C">
        <w:rPr>
          <w:rFonts w:cs="Arial"/>
        </w:rPr>
        <w:br w:type="page"/>
      </w:r>
    </w:p>
    <w:p w14:paraId="67986BCE" w14:textId="1B2D4E60" w:rsidR="009C5AD6" w:rsidRPr="00B2525C" w:rsidRDefault="009C5AD6" w:rsidP="009C5AD6">
      <w:pPr>
        <w:pStyle w:val="Heading2"/>
        <w:rPr>
          <w:rFonts w:cs="Arial"/>
        </w:rPr>
      </w:pPr>
      <w:r w:rsidRPr="00B2525C">
        <w:rPr>
          <w:rFonts w:cs="Arial"/>
        </w:rPr>
        <w:lastRenderedPageBreak/>
        <w:t xml:space="preserve">Physical </w:t>
      </w:r>
      <w:r w:rsidR="00831AB7">
        <w:rPr>
          <w:rFonts w:cs="Arial"/>
        </w:rPr>
        <w:t>and</w:t>
      </w:r>
      <w:r w:rsidRPr="00B2525C">
        <w:rPr>
          <w:rFonts w:cs="Arial"/>
        </w:rPr>
        <w:t xml:space="preserve"> built environment</w:t>
      </w:r>
    </w:p>
    <w:p w14:paraId="4E0B55DE" w14:textId="77777777" w:rsidR="00116EEC" w:rsidRDefault="00116EEC" w:rsidP="009C5AD6">
      <w:pPr>
        <w:pStyle w:val="Heading3"/>
        <w:rPr>
          <w:rFonts w:cs="Arial"/>
        </w:rPr>
      </w:pPr>
    </w:p>
    <w:p w14:paraId="2C34204D" w14:textId="1424422C" w:rsidR="009C5AD6" w:rsidRPr="00B2525C" w:rsidRDefault="009C5AD6" w:rsidP="009C5AD6">
      <w:pPr>
        <w:pStyle w:val="Heading3"/>
        <w:rPr>
          <w:rFonts w:cs="Arial"/>
        </w:rPr>
      </w:pPr>
      <w:proofErr w:type="spellStart"/>
      <w:r w:rsidRPr="00B2525C">
        <w:rPr>
          <w:rFonts w:cs="Arial"/>
        </w:rPr>
        <w:t>Neigbourhood</w:t>
      </w:r>
      <w:proofErr w:type="spellEnd"/>
      <w:r w:rsidRPr="00B2525C">
        <w:rPr>
          <w:rFonts w:cs="Arial"/>
        </w:rPr>
        <w:t xml:space="preserve"> level disadvantage</w:t>
      </w:r>
    </w:p>
    <w:p w14:paraId="663CCA93" w14:textId="77777777" w:rsidR="00116EEC" w:rsidRDefault="00116EEC" w:rsidP="009C5AD6">
      <w:pPr>
        <w:rPr>
          <w:rFonts w:cs="Arial"/>
        </w:rPr>
      </w:pPr>
    </w:p>
    <w:p w14:paraId="66C80562" w14:textId="23EA1538" w:rsidR="009C5AD6" w:rsidRDefault="009C5AD6" w:rsidP="009C5AD6">
      <w:pPr>
        <w:rPr>
          <w:rFonts w:cs="Arial"/>
        </w:rPr>
      </w:pPr>
      <w:r w:rsidRPr="00B2525C">
        <w:rPr>
          <w:rFonts w:cs="Arial"/>
        </w:rPr>
        <w:t xml:space="preserve">The SEIFA Index of Disadvantage measures the relative level of socioeconomic disadvantage in one area compared to others. The index is derived from attributes that reflect disadvantage such as low income, low educational attainment, high unemployment, and jobs in relatively unskilled occupations. A higher score on the index means a </w:t>
      </w:r>
      <w:r w:rsidRPr="00B2525C">
        <w:rPr>
          <w:rFonts w:cs="Arial"/>
          <w:i/>
        </w:rPr>
        <w:t xml:space="preserve">lower </w:t>
      </w:r>
      <w:r w:rsidRPr="00B2525C">
        <w:rPr>
          <w:rFonts w:cs="Arial"/>
        </w:rPr>
        <w:t>level of disadvantage.</w:t>
      </w:r>
      <w:r>
        <w:rPr>
          <w:rFonts w:cs="Arial"/>
        </w:rPr>
        <w:t xml:space="preserve"> </w:t>
      </w:r>
      <w:r w:rsidRPr="00B2525C">
        <w:rPr>
          <w:rFonts w:cs="Arial"/>
        </w:rPr>
        <w:t xml:space="preserve">Moonee Valley is </w:t>
      </w:r>
      <w:r w:rsidR="00580686">
        <w:rPr>
          <w:rFonts w:cs="Arial"/>
        </w:rPr>
        <w:t xml:space="preserve">relatively </w:t>
      </w:r>
      <w:r w:rsidRPr="00B2525C">
        <w:rPr>
          <w:rFonts w:cs="Arial"/>
        </w:rPr>
        <w:t xml:space="preserve">advantaged when compared to other local government areas in Victoria and is in the eighth decile on the Index of Relative Socio-Economic Disadvantage (ten equal groups, with decile 10 being the most advantaged) </w:t>
      </w:r>
    </w:p>
    <w:p w14:paraId="22837185" w14:textId="77777777" w:rsidR="009C5AD6" w:rsidRPr="00B2525C" w:rsidRDefault="009C5AD6" w:rsidP="009C5AD6">
      <w:pPr>
        <w:rPr>
          <w:rFonts w:cs="Arial"/>
        </w:rPr>
      </w:pPr>
    </w:p>
    <w:p w14:paraId="27A6CAE4" w14:textId="1BB4759C" w:rsidR="009C5AD6" w:rsidRPr="00B2525C" w:rsidRDefault="009C5AD6" w:rsidP="009C5AD6">
      <w:pPr>
        <w:rPr>
          <w:rFonts w:cs="Arial"/>
        </w:rPr>
      </w:pPr>
      <w:r w:rsidRPr="00B2525C">
        <w:rPr>
          <w:rFonts w:cs="Arial"/>
        </w:rPr>
        <w:t> </w:t>
      </w:r>
      <w:r w:rsidRPr="00831AB7">
        <w:rPr>
          <w:rFonts w:cs="Arial"/>
          <w:b/>
        </w:rPr>
        <w:t>Table</w:t>
      </w:r>
      <w:r w:rsidR="00831AB7" w:rsidRPr="00831AB7">
        <w:rPr>
          <w:rFonts w:cs="Arial"/>
          <w:b/>
        </w:rPr>
        <w:t xml:space="preserve"> 10</w:t>
      </w:r>
      <w:r w:rsidR="00831AB7">
        <w:rPr>
          <w:rFonts w:cs="Arial"/>
        </w:rPr>
        <w:t>.</w:t>
      </w:r>
      <w:r>
        <w:rPr>
          <w:rFonts w:cs="Arial"/>
        </w:rPr>
        <w:t xml:space="preserve"> </w:t>
      </w:r>
      <w:r w:rsidRPr="008D6556">
        <w:rPr>
          <w:rFonts w:eastAsia="Arial" w:cs="Arial"/>
          <w:color w:val="111111"/>
        </w:rPr>
        <w:t>Socio-Economic Indexes for Areas (SEIFA) indices, rank for Moonee Valley</w:t>
      </w:r>
    </w:p>
    <w:tbl>
      <w:tblPr>
        <w:tblW w:w="9344" w:type="dxa"/>
        <w:jc w:val="center"/>
        <w:tblLayout w:type="fixed"/>
        <w:tblLook w:val="0420" w:firstRow="1" w:lastRow="0" w:firstColumn="0" w:lastColumn="0" w:noHBand="0" w:noVBand="1"/>
      </w:tblPr>
      <w:tblGrid>
        <w:gridCol w:w="5347"/>
        <w:gridCol w:w="911"/>
        <w:gridCol w:w="854"/>
        <w:gridCol w:w="945"/>
        <w:gridCol w:w="1287"/>
      </w:tblGrid>
      <w:tr w:rsidR="009C5AD6" w:rsidRPr="00B2525C" w14:paraId="4641EDE2" w14:textId="77777777" w:rsidTr="002077B5">
        <w:trPr>
          <w:cantSplit/>
          <w:trHeight w:val="544"/>
          <w:tblHeader/>
          <w:jc w:val="center"/>
        </w:trPr>
        <w:tc>
          <w:tcPr>
            <w:tcW w:w="5347"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44C262EC" w14:textId="77777777" w:rsidR="009C5AD6" w:rsidRPr="00B2525C" w:rsidRDefault="009C5AD6" w:rsidP="002077B5">
            <w:pPr>
              <w:rPr>
                <w:rFonts w:cs="Arial"/>
              </w:rPr>
            </w:pPr>
            <w:r w:rsidRPr="00B2525C">
              <w:rPr>
                <w:rFonts w:eastAsia="Arial" w:cs="Arial"/>
                <w:b/>
                <w:color w:val="111111"/>
              </w:rPr>
              <w:t>Index</w:t>
            </w:r>
          </w:p>
        </w:tc>
        <w:tc>
          <w:tcPr>
            <w:tcW w:w="911"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7059C642" w14:textId="77777777" w:rsidR="009C5AD6" w:rsidRPr="00B2525C" w:rsidRDefault="009C5AD6" w:rsidP="002077B5">
            <w:pPr>
              <w:jc w:val="center"/>
              <w:rPr>
                <w:rFonts w:cs="Arial"/>
              </w:rPr>
            </w:pPr>
            <w:r w:rsidRPr="00B2525C">
              <w:rPr>
                <w:rFonts w:eastAsia="Arial" w:cs="Arial"/>
                <w:b/>
                <w:color w:val="111111"/>
              </w:rPr>
              <w:t>Score</w:t>
            </w:r>
          </w:p>
        </w:tc>
        <w:tc>
          <w:tcPr>
            <w:tcW w:w="854"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3F17B99A" w14:textId="77777777" w:rsidR="009C5AD6" w:rsidRPr="00B2525C" w:rsidRDefault="009C5AD6" w:rsidP="002077B5">
            <w:pPr>
              <w:jc w:val="center"/>
              <w:rPr>
                <w:rFonts w:cs="Arial"/>
              </w:rPr>
            </w:pPr>
            <w:r w:rsidRPr="00B2525C">
              <w:rPr>
                <w:rFonts w:eastAsia="Arial" w:cs="Arial"/>
                <w:b/>
                <w:color w:val="111111"/>
              </w:rPr>
              <w:t>Rank</w:t>
            </w:r>
          </w:p>
        </w:tc>
        <w:tc>
          <w:tcPr>
            <w:tcW w:w="945"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0C382AE1" w14:textId="77777777" w:rsidR="009C5AD6" w:rsidRPr="00B2525C" w:rsidRDefault="009C5AD6" w:rsidP="002077B5">
            <w:pPr>
              <w:jc w:val="center"/>
              <w:rPr>
                <w:rFonts w:cs="Arial"/>
              </w:rPr>
            </w:pPr>
            <w:r w:rsidRPr="00B2525C">
              <w:rPr>
                <w:rFonts w:eastAsia="Arial" w:cs="Arial"/>
                <w:b/>
                <w:color w:val="111111"/>
              </w:rPr>
              <w:t>Decile</w:t>
            </w:r>
          </w:p>
        </w:tc>
        <w:tc>
          <w:tcPr>
            <w:tcW w:w="1287"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61D1BCB9" w14:textId="77777777" w:rsidR="009C5AD6" w:rsidRPr="00B2525C" w:rsidRDefault="009C5AD6" w:rsidP="002077B5">
            <w:pPr>
              <w:jc w:val="center"/>
              <w:rPr>
                <w:rFonts w:cs="Arial"/>
              </w:rPr>
            </w:pPr>
            <w:r w:rsidRPr="00B2525C">
              <w:rPr>
                <w:rFonts w:eastAsia="Arial" w:cs="Arial"/>
                <w:b/>
                <w:color w:val="111111"/>
              </w:rPr>
              <w:t>Percentile</w:t>
            </w:r>
          </w:p>
        </w:tc>
      </w:tr>
      <w:tr w:rsidR="009C5AD6" w:rsidRPr="00B2525C" w14:paraId="30C42F00" w14:textId="77777777" w:rsidTr="002077B5">
        <w:trPr>
          <w:cantSplit/>
          <w:trHeight w:val="502"/>
          <w:jc w:val="center"/>
        </w:trPr>
        <w:tc>
          <w:tcPr>
            <w:tcW w:w="5347"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6A4FC76C" w14:textId="77777777" w:rsidR="009C5AD6" w:rsidRPr="00B2525C" w:rsidRDefault="009C5AD6" w:rsidP="002077B5">
            <w:pPr>
              <w:jc w:val="center"/>
              <w:rPr>
                <w:rFonts w:cs="Arial"/>
              </w:rPr>
            </w:pPr>
            <w:r w:rsidRPr="00B2525C">
              <w:rPr>
                <w:rFonts w:eastAsia="Arial" w:cs="Arial"/>
                <w:color w:val="111111"/>
                <w:sz w:val="20"/>
                <w:szCs w:val="20"/>
              </w:rPr>
              <w:t>Relative Socio-economic Disadvantage (IRSD)</w:t>
            </w:r>
          </w:p>
        </w:tc>
        <w:tc>
          <w:tcPr>
            <w:tcW w:w="911"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11A26FA6" w14:textId="77777777" w:rsidR="009C5AD6" w:rsidRPr="00B2525C" w:rsidRDefault="009C5AD6" w:rsidP="002077B5">
            <w:pPr>
              <w:jc w:val="center"/>
              <w:rPr>
                <w:rFonts w:cs="Arial"/>
              </w:rPr>
            </w:pPr>
            <w:r w:rsidRPr="00B2525C">
              <w:rPr>
                <w:rFonts w:eastAsia="Arial" w:cs="Arial"/>
                <w:color w:val="111111"/>
                <w:sz w:val="20"/>
                <w:szCs w:val="20"/>
              </w:rPr>
              <w:t>1035</w:t>
            </w:r>
          </w:p>
        </w:tc>
        <w:tc>
          <w:tcPr>
            <w:tcW w:w="854"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1FA1FEFC" w14:textId="77777777" w:rsidR="009C5AD6" w:rsidRPr="00B2525C" w:rsidRDefault="009C5AD6" w:rsidP="002077B5">
            <w:pPr>
              <w:jc w:val="center"/>
              <w:rPr>
                <w:rFonts w:cs="Arial"/>
              </w:rPr>
            </w:pPr>
            <w:r w:rsidRPr="00B2525C">
              <w:rPr>
                <w:rFonts w:eastAsia="Arial" w:cs="Arial"/>
                <w:color w:val="111111"/>
                <w:sz w:val="20"/>
                <w:szCs w:val="20"/>
              </w:rPr>
              <w:t>62</w:t>
            </w:r>
          </w:p>
        </w:tc>
        <w:tc>
          <w:tcPr>
            <w:tcW w:w="945"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24BFCE8F" w14:textId="77777777" w:rsidR="009C5AD6" w:rsidRPr="00B2525C" w:rsidRDefault="009C5AD6" w:rsidP="002077B5">
            <w:pPr>
              <w:jc w:val="center"/>
              <w:rPr>
                <w:rFonts w:cs="Arial"/>
              </w:rPr>
            </w:pPr>
            <w:r w:rsidRPr="00B2525C">
              <w:rPr>
                <w:rFonts w:eastAsia="Arial" w:cs="Arial"/>
                <w:color w:val="111111"/>
                <w:sz w:val="20"/>
                <w:szCs w:val="20"/>
              </w:rPr>
              <w:t>8</w:t>
            </w:r>
          </w:p>
        </w:tc>
        <w:tc>
          <w:tcPr>
            <w:tcW w:w="1287" w:type="dxa"/>
            <w:tcBorders>
              <w:top w:val="single" w:sz="8" w:space="0" w:color="333333"/>
              <w:bottom w:val="single" w:sz="8" w:space="0" w:color="333333"/>
            </w:tcBorders>
            <w:shd w:val="clear" w:color="auto" w:fill="FFFFFF"/>
            <w:tcMar>
              <w:top w:w="0" w:type="dxa"/>
              <w:left w:w="0" w:type="dxa"/>
              <w:bottom w:w="0" w:type="dxa"/>
              <w:right w:w="0" w:type="dxa"/>
            </w:tcMar>
            <w:vAlign w:val="center"/>
          </w:tcPr>
          <w:p w14:paraId="6D640296" w14:textId="77777777" w:rsidR="009C5AD6" w:rsidRPr="00B2525C" w:rsidRDefault="009C5AD6" w:rsidP="002077B5">
            <w:pPr>
              <w:jc w:val="center"/>
              <w:rPr>
                <w:rFonts w:cs="Arial"/>
              </w:rPr>
            </w:pPr>
            <w:r w:rsidRPr="00B2525C">
              <w:rPr>
                <w:rFonts w:eastAsia="Arial" w:cs="Arial"/>
                <w:color w:val="111111"/>
                <w:sz w:val="20"/>
                <w:szCs w:val="20"/>
              </w:rPr>
              <w:t>77</w:t>
            </w:r>
          </w:p>
        </w:tc>
      </w:tr>
      <w:tr w:rsidR="009C5AD6" w:rsidRPr="00B2525C" w14:paraId="08B2C6D1" w14:textId="77777777" w:rsidTr="002077B5">
        <w:trPr>
          <w:cantSplit/>
          <w:trHeight w:val="502"/>
          <w:jc w:val="center"/>
        </w:trPr>
        <w:tc>
          <w:tcPr>
            <w:tcW w:w="9344" w:type="dxa"/>
            <w:gridSpan w:val="5"/>
            <w:shd w:val="clear" w:color="auto" w:fill="FFFFFF"/>
            <w:tcMar>
              <w:top w:w="0" w:type="dxa"/>
              <w:left w:w="0" w:type="dxa"/>
              <w:bottom w:w="0" w:type="dxa"/>
              <w:right w:w="0" w:type="dxa"/>
            </w:tcMar>
            <w:vAlign w:val="center"/>
          </w:tcPr>
          <w:p w14:paraId="714BEC3D" w14:textId="77777777" w:rsidR="009C5AD6" w:rsidRPr="008D6556" w:rsidRDefault="009C5AD6" w:rsidP="002077B5">
            <w:pPr>
              <w:rPr>
                <w:rFonts w:cs="Arial"/>
                <w:i/>
              </w:rPr>
            </w:pPr>
            <w:r w:rsidRPr="008D6556">
              <w:rPr>
                <w:rFonts w:eastAsia="Arial" w:cs="Arial"/>
                <w:i/>
                <w:color w:val="000000"/>
                <w:sz w:val="20"/>
                <w:szCs w:val="20"/>
              </w:rPr>
              <w:t>Source: ABS, Census 2016; (comparisons with other municipalities in Victoria)</w:t>
            </w:r>
          </w:p>
        </w:tc>
      </w:tr>
    </w:tbl>
    <w:p w14:paraId="4D81EDB5" w14:textId="77777777" w:rsidR="009C5AD6" w:rsidRPr="00B2525C" w:rsidRDefault="009C5AD6" w:rsidP="009C5AD6">
      <w:pPr>
        <w:rPr>
          <w:rFonts w:cs="Arial"/>
        </w:rPr>
      </w:pPr>
      <w:r w:rsidRPr="00B2525C">
        <w:rPr>
          <w:rFonts w:cs="Arial"/>
        </w:rPr>
        <w:t> </w:t>
      </w:r>
    </w:p>
    <w:p w14:paraId="0C8911EC" w14:textId="25229A1E" w:rsidR="009C5AD6" w:rsidRDefault="009C5AD6" w:rsidP="009C5AD6">
      <w:pPr>
        <w:rPr>
          <w:rFonts w:cs="Arial"/>
        </w:rPr>
      </w:pPr>
      <w:r w:rsidRPr="00B2525C">
        <w:rPr>
          <w:rFonts w:cs="Arial"/>
        </w:rPr>
        <w:t>The SEIFA Index of Relative Socio-economic Disadvantage (IRSD) also shows that there is great socio-economic diversity across Moonee Valley neighbourhood areas. There are areas of disadvantage in neighbourhoods such as Flemington, Ascot Vale, Avondale Heights and Milleara, with many areas in the most disadvantaged deciles (i.e. 1-2). In contrast, Strathmore and Strathmore Heights are the least disadvantaged neighbourhoods.</w:t>
      </w:r>
      <w:r>
        <w:rPr>
          <w:rFonts w:cs="Arial"/>
        </w:rPr>
        <w:t xml:space="preserve"> </w:t>
      </w:r>
      <w:r w:rsidRPr="00B2525C">
        <w:rPr>
          <w:rFonts w:cs="Arial"/>
        </w:rPr>
        <w:t xml:space="preserve">This disparity is shown in </w:t>
      </w:r>
      <w:r>
        <w:rPr>
          <w:rFonts w:cs="Arial"/>
        </w:rPr>
        <w:t>Figure 51</w:t>
      </w:r>
      <w:r w:rsidRPr="00B2525C">
        <w:rPr>
          <w:rFonts w:cs="Arial"/>
        </w:rPr>
        <w:t>. The areas of most disadvantage in Moonee Valley are the public housing estates in Flemington and Ascot Vale (shaded darker red/brown)</w:t>
      </w:r>
      <w:r w:rsidR="00CD2EB3">
        <w:rPr>
          <w:rFonts w:cs="Arial"/>
        </w:rPr>
        <w:t xml:space="preserve"> which </w:t>
      </w:r>
      <w:r w:rsidR="00F815DF">
        <w:rPr>
          <w:rFonts w:cs="Arial"/>
        </w:rPr>
        <w:t>are</w:t>
      </w:r>
      <w:r w:rsidR="00CD2EB3">
        <w:rPr>
          <w:rFonts w:cs="Arial"/>
        </w:rPr>
        <w:t xml:space="preserve"> among the most disadvantaged neighbourhood areas in </w:t>
      </w:r>
      <w:r w:rsidR="00A5017D">
        <w:rPr>
          <w:rFonts w:cs="Arial"/>
        </w:rPr>
        <w:t>Australia</w:t>
      </w:r>
      <w:r w:rsidR="0003084E">
        <w:rPr>
          <w:rFonts w:cs="Arial"/>
        </w:rPr>
        <w:t xml:space="preserve"> (Figure 51)</w:t>
      </w:r>
      <w:r w:rsidRPr="00B2525C">
        <w:rPr>
          <w:rFonts w:cs="Arial"/>
        </w:rPr>
        <w:t>.</w:t>
      </w:r>
    </w:p>
    <w:p w14:paraId="0181440F" w14:textId="77777777" w:rsidR="009C5AD6" w:rsidRDefault="009C5AD6" w:rsidP="009C5AD6">
      <w:pPr>
        <w:rPr>
          <w:rFonts w:cs="Arial"/>
        </w:rPr>
      </w:pPr>
    </w:p>
    <w:p w14:paraId="6F2FB86C" w14:textId="77777777" w:rsidR="0003084E" w:rsidRDefault="0003084E" w:rsidP="009C5AD6">
      <w:r>
        <w:br w:type="page"/>
      </w:r>
    </w:p>
    <w:p w14:paraId="571CA533" w14:textId="1543F094" w:rsidR="009C5AD6" w:rsidRPr="00B2525C" w:rsidRDefault="009C5AD6" w:rsidP="009C5AD6">
      <w:pPr>
        <w:rPr>
          <w:rFonts w:cs="Arial"/>
        </w:rPr>
      </w:pPr>
      <w:r w:rsidRPr="0003084E">
        <w:rPr>
          <w:b/>
        </w:rPr>
        <w:lastRenderedPageBreak/>
        <w:t>Figure 51</w:t>
      </w:r>
      <w:r>
        <w:t xml:space="preserve">. </w:t>
      </w:r>
      <w:r w:rsidRPr="007067A4">
        <w:t>Socio-Economic Indexes for Areas (SEIFA) ranking statistical areas relative socio-economic disadvantage, ABS</w:t>
      </w:r>
    </w:p>
    <w:p w14:paraId="00FA86C0" w14:textId="77777777" w:rsidR="009C5AD6" w:rsidRPr="00B2525C" w:rsidRDefault="009C5AD6" w:rsidP="009C5AD6">
      <w:pPr>
        <w:rPr>
          <w:rFonts w:cs="Arial"/>
        </w:rPr>
      </w:pPr>
      <w:r w:rsidRPr="00B2525C">
        <w:rPr>
          <w:rFonts w:cs="Arial"/>
        </w:rPr>
        <w:t xml:space="preserve"> </w:t>
      </w:r>
      <w:r>
        <w:rPr>
          <w:noProof/>
        </w:rPr>
        <w:drawing>
          <wp:inline distT="0" distB="0" distL="0" distR="0" wp14:anchorId="5DF21866" wp14:editId="0849E69B">
            <wp:extent cx="5966234" cy="5966234"/>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5 SEIFA.png"/>
                    <pic:cNvPicPr/>
                  </pic:nvPicPr>
                  <pic:blipFill>
                    <a:blip r:embed="rId81">
                      <a:extLst>
                        <a:ext uri="{28A0092B-C50C-407E-A947-70E740481C1C}">
                          <a14:useLocalDpi xmlns:a14="http://schemas.microsoft.com/office/drawing/2010/main" val="0"/>
                        </a:ext>
                      </a:extLst>
                    </a:blip>
                    <a:stretch>
                      <a:fillRect/>
                    </a:stretch>
                  </pic:blipFill>
                  <pic:spPr>
                    <a:xfrm>
                      <a:off x="0" y="0"/>
                      <a:ext cx="5968529" cy="5968529"/>
                    </a:xfrm>
                    <a:prstGeom prst="rect">
                      <a:avLst/>
                    </a:prstGeom>
                  </pic:spPr>
                </pic:pic>
              </a:graphicData>
            </a:graphic>
          </wp:inline>
        </w:drawing>
      </w:r>
    </w:p>
    <w:p w14:paraId="26101DF0" w14:textId="77777777" w:rsidR="009C5AD6" w:rsidRDefault="009C5AD6" w:rsidP="009C5AD6">
      <w:pPr>
        <w:pStyle w:val="Heading3"/>
        <w:rPr>
          <w:rFonts w:cs="Arial"/>
        </w:rPr>
      </w:pPr>
      <w:r>
        <w:rPr>
          <w:rFonts w:cs="Arial"/>
        </w:rPr>
        <w:br w:type="page"/>
      </w:r>
    </w:p>
    <w:p w14:paraId="2A1410C5" w14:textId="77777777" w:rsidR="009C5AD6" w:rsidRPr="00B2525C" w:rsidRDefault="009C5AD6" w:rsidP="009C5AD6">
      <w:pPr>
        <w:pStyle w:val="Heading3"/>
        <w:rPr>
          <w:rFonts w:cs="Arial"/>
        </w:rPr>
      </w:pPr>
      <w:r w:rsidRPr="00B2525C">
        <w:rPr>
          <w:rFonts w:cs="Arial"/>
        </w:rPr>
        <w:lastRenderedPageBreak/>
        <w:t xml:space="preserve">Walkability </w:t>
      </w:r>
    </w:p>
    <w:p w14:paraId="5ED40C6A" w14:textId="77777777" w:rsidR="009C5AD6" w:rsidRPr="00B2525C" w:rsidRDefault="009C5AD6" w:rsidP="009C5AD6">
      <w:pPr>
        <w:rPr>
          <w:rFonts w:cs="Arial"/>
        </w:rPr>
      </w:pPr>
      <w:r w:rsidRPr="00B2525C">
        <w:rPr>
          <w:rFonts w:cs="Arial"/>
        </w:rPr>
        <w:t>Walkability refers to how well the built environment in different areas supports walking to local destinations or for transport. Walkable communities are good for health, traffic management and the environment. A combination of higher residential densities, well-connected street networks and mixed land uses are positively associated with people walking (for transport) to local destinations. Neighbourhoods with connected streets, higher population density and various local destinations (e.g., jobs, shops, services,) are considered more “walkable” than those in sprawling areas with cul-de-sacs, lower population densities</w:t>
      </w:r>
      <w:r>
        <w:rPr>
          <w:rFonts w:cs="Arial"/>
        </w:rPr>
        <w:t>,</w:t>
      </w:r>
      <w:r w:rsidRPr="00B2525C">
        <w:rPr>
          <w:rFonts w:cs="Arial"/>
        </w:rPr>
        <w:t xml:space="preserve"> and fewer local destinations (RMIT, 2018). </w:t>
      </w:r>
    </w:p>
    <w:p w14:paraId="07ED16DA" w14:textId="77777777" w:rsidR="009C5AD6" w:rsidRPr="00B2525C" w:rsidRDefault="009C5AD6" w:rsidP="009C5AD6">
      <w:pPr>
        <w:rPr>
          <w:rFonts w:cs="Arial"/>
        </w:rPr>
      </w:pPr>
    </w:p>
    <w:p w14:paraId="2D926298" w14:textId="77777777" w:rsidR="009C5AD6" w:rsidRPr="00B2525C" w:rsidRDefault="009C5AD6" w:rsidP="009C5AD6">
      <w:pPr>
        <w:pStyle w:val="Heading3"/>
        <w:rPr>
          <w:rFonts w:cs="Arial"/>
        </w:rPr>
      </w:pPr>
      <w:r w:rsidRPr="00B2525C">
        <w:rPr>
          <w:rFonts w:cs="Arial"/>
        </w:rPr>
        <w:t xml:space="preserve">Public transport networks </w:t>
      </w:r>
    </w:p>
    <w:p w14:paraId="63DD19F0" w14:textId="0E54C4D8" w:rsidR="009C5AD6" w:rsidRDefault="009C5AD6" w:rsidP="009C5AD6">
      <w:pPr>
        <w:spacing w:after="0"/>
        <w:rPr>
          <w:rFonts w:cs="Arial"/>
        </w:rPr>
      </w:pPr>
      <w:r w:rsidRPr="00B2525C">
        <w:rPr>
          <w:rFonts w:cs="Arial"/>
        </w:rPr>
        <w:t>Around 19</w:t>
      </w:r>
      <w:r w:rsidR="00A5017D">
        <w:rPr>
          <w:rFonts w:cs="Arial"/>
        </w:rPr>
        <w:t xml:space="preserve"> per cent</w:t>
      </w:r>
      <w:r w:rsidRPr="00B2525C">
        <w:rPr>
          <w:rFonts w:cs="Arial"/>
        </w:rPr>
        <w:t xml:space="preserve"> of employed Moonee Valley residents travel to work by public transport</w:t>
      </w:r>
      <w:r w:rsidR="00F815DF">
        <w:rPr>
          <w:rFonts w:cs="Arial"/>
        </w:rPr>
        <w:t xml:space="preserve"> and </w:t>
      </w:r>
      <w:r w:rsidRPr="00B2525C">
        <w:rPr>
          <w:rFonts w:cs="Arial"/>
        </w:rPr>
        <w:t xml:space="preserve">ranges from less than 10 per cent in Keilor East to 33 per cent in Flemington (ABS Census, 2016). </w:t>
      </w:r>
      <w:r w:rsidR="00F815DF">
        <w:t>Public transport is more accessible in the south-east of the municipality. Overall</w:t>
      </w:r>
      <w:r w:rsidR="00F815DF" w:rsidRPr="00B2525C">
        <w:rPr>
          <w:rFonts w:cs="Arial"/>
        </w:rPr>
        <w:t xml:space="preserve"> </w:t>
      </w:r>
      <w:r w:rsidRPr="00B2525C">
        <w:rPr>
          <w:rFonts w:cs="Arial"/>
        </w:rPr>
        <w:t>94</w:t>
      </w:r>
      <w:r w:rsidR="00A5017D">
        <w:rPr>
          <w:rFonts w:cs="Arial"/>
        </w:rPr>
        <w:t xml:space="preserve"> per cent</w:t>
      </w:r>
      <w:r w:rsidRPr="00B2525C">
        <w:rPr>
          <w:rFonts w:cs="Arial"/>
        </w:rPr>
        <w:t xml:space="preserve"> of Moonee Valley residents live within either 800 metres (</w:t>
      </w:r>
      <w:proofErr w:type="gramStart"/>
      <w:r w:rsidRPr="00B2525C">
        <w:rPr>
          <w:rFonts w:cs="Arial"/>
        </w:rPr>
        <w:t>10 minute</w:t>
      </w:r>
      <w:proofErr w:type="gramEnd"/>
      <w:r w:rsidRPr="00B2525C">
        <w:rPr>
          <w:rFonts w:cs="Arial"/>
        </w:rPr>
        <w:t xml:space="preserve"> walk) of a train station, or 400 metres (five-minute walk) of a tram or bus stop (PTV data 2017 and 2016 Census).</w:t>
      </w:r>
    </w:p>
    <w:p w14:paraId="3438F949" w14:textId="77777777" w:rsidR="009C5AD6" w:rsidRPr="00B2525C" w:rsidRDefault="009C5AD6" w:rsidP="009C5AD6">
      <w:pPr>
        <w:rPr>
          <w:rFonts w:cs="Arial"/>
        </w:rPr>
      </w:pPr>
    </w:p>
    <w:p w14:paraId="0E9B08DF" w14:textId="77777777" w:rsidR="009C5AD6" w:rsidRPr="00B2525C" w:rsidRDefault="009C5AD6" w:rsidP="009C5AD6">
      <w:pPr>
        <w:pStyle w:val="Heading3"/>
        <w:rPr>
          <w:rFonts w:cs="Arial"/>
        </w:rPr>
      </w:pPr>
      <w:r w:rsidRPr="00B2525C">
        <w:rPr>
          <w:rFonts w:cs="Arial"/>
        </w:rPr>
        <w:t>Combined accessibility</w:t>
      </w:r>
    </w:p>
    <w:p w14:paraId="6CB01446" w14:textId="3D0ED35C" w:rsidR="009C5AD6" w:rsidRPr="00B2525C" w:rsidRDefault="009C5AD6" w:rsidP="009C5AD6">
      <w:pPr>
        <w:rPr>
          <w:rFonts w:cs="Arial"/>
        </w:rPr>
      </w:pPr>
      <w:r w:rsidRPr="00B2525C">
        <w:rPr>
          <w:rFonts w:cs="Arial"/>
        </w:rPr>
        <w:t>Moonee Valley City Council has a few areas that are considered to have substantial combined accessibility – defined as 20</w:t>
      </w:r>
      <w:r w:rsidR="002C5883">
        <w:rPr>
          <w:rFonts w:cs="Arial"/>
        </w:rPr>
        <w:t>-</w:t>
      </w:r>
      <w:r w:rsidRPr="00B2525C">
        <w:rPr>
          <w:rFonts w:cs="Arial"/>
        </w:rPr>
        <w:t xml:space="preserve">minute walk to public transport, open space, community facilities, schools and convenience centres. These are indicated by the purple shading </w:t>
      </w:r>
      <w:r>
        <w:rPr>
          <w:rFonts w:cs="Arial"/>
        </w:rPr>
        <w:t xml:space="preserve">in Figure </w:t>
      </w:r>
      <w:r w:rsidR="00D85242">
        <w:rPr>
          <w:rFonts w:cs="Arial"/>
        </w:rPr>
        <w:t>52</w:t>
      </w:r>
      <w:r>
        <w:rPr>
          <w:rFonts w:cs="Arial"/>
        </w:rPr>
        <w:t xml:space="preserve"> </w:t>
      </w:r>
      <w:r w:rsidRPr="00B2525C">
        <w:rPr>
          <w:rFonts w:cs="Arial"/>
        </w:rPr>
        <w:t>and include areas in Flemington, Moonee Ponds and Essendon. Conversely</w:t>
      </w:r>
      <w:r>
        <w:rPr>
          <w:rFonts w:cs="Arial"/>
        </w:rPr>
        <w:t>,</w:t>
      </w:r>
      <w:r w:rsidRPr="00B2525C">
        <w:rPr>
          <w:rFonts w:cs="Arial"/>
        </w:rPr>
        <w:t xml:space="preserve"> as indicated by the brown shading, there are many areas that are considered to have low combined accessibility.</w:t>
      </w:r>
    </w:p>
    <w:bookmarkEnd w:id="48"/>
    <w:p w14:paraId="461944C6" w14:textId="52704814" w:rsidR="00A41E25" w:rsidRDefault="00A41E25" w:rsidP="00B4795C">
      <w:pPr>
        <w:rPr>
          <w:rFonts w:cs="Arial"/>
        </w:rPr>
      </w:pPr>
    </w:p>
    <w:p w14:paraId="7E364A77" w14:textId="77777777" w:rsidR="0004107A" w:rsidRDefault="0004107A" w:rsidP="0003084E">
      <w:pPr>
        <w:pStyle w:val="Caption"/>
        <w:rPr>
          <w:b/>
          <w:i w:val="0"/>
          <w:color w:val="auto"/>
          <w:sz w:val="22"/>
          <w:szCs w:val="22"/>
        </w:rPr>
      </w:pPr>
      <w:r>
        <w:rPr>
          <w:b/>
          <w:i w:val="0"/>
          <w:color w:val="auto"/>
          <w:sz w:val="22"/>
          <w:szCs w:val="22"/>
        </w:rPr>
        <w:br w:type="page"/>
      </w:r>
    </w:p>
    <w:p w14:paraId="7283F27A" w14:textId="34B77CAA" w:rsidR="00A41E25" w:rsidRPr="0003084E" w:rsidRDefault="00A41E25" w:rsidP="0003084E">
      <w:pPr>
        <w:pStyle w:val="Caption"/>
        <w:rPr>
          <w:i w:val="0"/>
          <w:color w:val="auto"/>
          <w:sz w:val="22"/>
          <w:szCs w:val="22"/>
        </w:rPr>
      </w:pPr>
      <w:r w:rsidRPr="0003084E">
        <w:rPr>
          <w:b/>
          <w:i w:val="0"/>
          <w:color w:val="auto"/>
          <w:sz w:val="22"/>
          <w:szCs w:val="22"/>
        </w:rPr>
        <w:lastRenderedPageBreak/>
        <w:t xml:space="preserve">Figure </w:t>
      </w:r>
      <w:r w:rsidR="00B93B84" w:rsidRPr="0003084E">
        <w:rPr>
          <w:b/>
          <w:i w:val="0"/>
          <w:color w:val="auto"/>
          <w:sz w:val="22"/>
          <w:szCs w:val="22"/>
        </w:rPr>
        <w:t>5</w:t>
      </w:r>
      <w:r w:rsidR="00C81826" w:rsidRPr="0003084E">
        <w:rPr>
          <w:b/>
          <w:i w:val="0"/>
          <w:color w:val="auto"/>
          <w:sz w:val="22"/>
          <w:szCs w:val="22"/>
        </w:rPr>
        <w:t>2</w:t>
      </w:r>
      <w:r w:rsidR="0003084E">
        <w:rPr>
          <w:i w:val="0"/>
          <w:color w:val="auto"/>
          <w:sz w:val="22"/>
          <w:szCs w:val="22"/>
        </w:rPr>
        <w:t>.</w:t>
      </w:r>
      <w:r w:rsidRPr="0003084E">
        <w:rPr>
          <w:i w:val="0"/>
          <w:color w:val="auto"/>
          <w:sz w:val="22"/>
          <w:szCs w:val="22"/>
        </w:rPr>
        <w:t xml:space="preserve"> Accessibility within a 20-minute walk to public transport, open space, community facilities, schools and convenience centres.</w:t>
      </w:r>
    </w:p>
    <w:p w14:paraId="388A138A" w14:textId="241C5AAB" w:rsidR="00A41E25" w:rsidRDefault="00A41E25" w:rsidP="00B4795C">
      <w:pPr>
        <w:rPr>
          <w:rFonts w:cs="Arial"/>
        </w:rPr>
      </w:pPr>
    </w:p>
    <w:p w14:paraId="6ECF1B2C" w14:textId="1BC2651D" w:rsidR="00A41E25" w:rsidRDefault="00A41E25" w:rsidP="00B4795C">
      <w:pPr>
        <w:rPr>
          <w:rFonts w:cs="Arial"/>
        </w:rPr>
      </w:pPr>
      <w:r>
        <w:rPr>
          <w:noProof/>
        </w:rPr>
        <w:drawing>
          <wp:inline distT="0" distB="0" distL="0" distR="0" wp14:anchorId="0BADBF6A" wp14:editId="2394E9A0">
            <wp:extent cx="5731510" cy="5731510"/>
            <wp:effectExtent l="0" t="0" r="254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1 Accessibilty.png"/>
                    <pic:cNvPicPr/>
                  </pic:nvPicPr>
                  <pic:blipFill>
                    <a:blip r:embed="rId8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CF74869" w14:textId="3DBD3312" w:rsidR="00A41E25" w:rsidRDefault="0004107A" w:rsidP="00B4795C">
      <w:pPr>
        <w:rPr>
          <w:rFonts w:cs="Arial"/>
        </w:rPr>
      </w:pPr>
      <w:r>
        <w:rPr>
          <w:rFonts w:cs="Arial"/>
        </w:rPr>
        <w:br w:type="page"/>
      </w:r>
    </w:p>
    <w:p w14:paraId="16834F77" w14:textId="551B7A1F" w:rsidR="00EB7E00" w:rsidRDefault="00B01D14" w:rsidP="00A3456D">
      <w:pPr>
        <w:pStyle w:val="Heading1"/>
        <w:numPr>
          <w:ilvl w:val="0"/>
          <w:numId w:val="20"/>
        </w:numPr>
        <w:rPr>
          <w:rFonts w:cs="Arial"/>
        </w:rPr>
      </w:pPr>
      <w:bookmarkStart w:id="49" w:name="_Toc80014170"/>
      <w:bookmarkStart w:id="50" w:name="health-status-indigenous-language"/>
      <w:bookmarkEnd w:id="44"/>
      <w:bookmarkEnd w:id="45"/>
      <w:r w:rsidRPr="00EB7E00">
        <w:rPr>
          <w:rFonts w:cs="Arial"/>
        </w:rPr>
        <w:lastRenderedPageBreak/>
        <w:t xml:space="preserve">Health </w:t>
      </w:r>
      <w:r w:rsidR="00D90446" w:rsidRPr="00EB7E00">
        <w:rPr>
          <w:rFonts w:cs="Arial"/>
        </w:rPr>
        <w:t xml:space="preserve">and wellbeing </w:t>
      </w:r>
      <w:r w:rsidR="00F740EF" w:rsidRPr="00EB7E00">
        <w:rPr>
          <w:rFonts w:cs="Arial"/>
        </w:rPr>
        <w:t>outcomes</w:t>
      </w:r>
      <w:bookmarkEnd w:id="49"/>
      <w:r w:rsidR="00F740EF" w:rsidRPr="00EB7E00">
        <w:rPr>
          <w:rFonts w:cs="Arial"/>
        </w:rPr>
        <w:t xml:space="preserve"> </w:t>
      </w:r>
      <w:bookmarkEnd w:id="50"/>
    </w:p>
    <w:p w14:paraId="468C39FC" w14:textId="77777777" w:rsidR="00EB7E00" w:rsidRPr="00EB7E00" w:rsidRDefault="00EB7E00" w:rsidP="00EB7E00"/>
    <w:p w14:paraId="0C994367" w14:textId="77777777" w:rsidR="00570769" w:rsidRPr="00EB7E00" w:rsidRDefault="002145A7" w:rsidP="00EB7E00">
      <w:pPr>
        <w:rPr>
          <w:b/>
        </w:rPr>
      </w:pPr>
      <w:r w:rsidRPr="00EB7E00">
        <w:rPr>
          <w:b/>
        </w:rPr>
        <w:t>Key points</w:t>
      </w:r>
      <w:r w:rsidR="0029381A" w:rsidRPr="00EB7E00">
        <w:rPr>
          <w:b/>
        </w:rPr>
        <w:t xml:space="preserve"> </w:t>
      </w:r>
    </w:p>
    <w:p w14:paraId="6EBB8B80" w14:textId="768B9819" w:rsidR="002145A7" w:rsidRPr="00BD3DEF" w:rsidRDefault="00E37EA5" w:rsidP="00BD3DEF">
      <w:pPr>
        <w:pStyle w:val="ListParagraph"/>
        <w:numPr>
          <w:ilvl w:val="0"/>
          <w:numId w:val="33"/>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Moonee Valley</w:t>
      </w:r>
      <w:r w:rsidR="003A2D10">
        <w:rPr>
          <w:rFonts w:ascii="Circular Std Book" w:hAnsi="Circular Std Book" w:cs="Circular Std Book"/>
        </w:rPr>
        <w:t>’s</w:t>
      </w:r>
      <w:r w:rsidRPr="00BD3DEF">
        <w:rPr>
          <w:rFonts w:ascii="Circular Std Book" w:hAnsi="Circular Std Book" w:cs="Circular Std Book"/>
        </w:rPr>
        <w:t xml:space="preserve"> </w:t>
      </w:r>
      <w:r w:rsidR="00BE5F82">
        <w:rPr>
          <w:rFonts w:ascii="Circular Std Book" w:hAnsi="Circular Std Book" w:cs="Circular Std Book"/>
        </w:rPr>
        <w:t>residents</w:t>
      </w:r>
      <w:r w:rsidR="002145A7" w:rsidRPr="00BD3DEF">
        <w:rPr>
          <w:rFonts w:ascii="Circular Std Book" w:hAnsi="Circular Std Book" w:cs="Circular Std Book"/>
        </w:rPr>
        <w:t xml:space="preserve"> enjoy good </w:t>
      </w:r>
      <w:r w:rsidR="0029381A" w:rsidRPr="00BD3DEF">
        <w:rPr>
          <w:rFonts w:ascii="Circular Std Book" w:hAnsi="Circular Std Book" w:cs="Circular Std Book"/>
        </w:rPr>
        <w:t xml:space="preserve">self-reported </w:t>
      </w:r>
      <w:r w:rsidR="002145A7" w:rsidRPr="00BD3DEF">
        <w:rPr>
          <w:rFonts w:ascii="Circular Std Book" w:hAnsi="Circular Std Book" w:cs="Circular Std Book"/>
        </w:rPr>
        <w:t xml:space="preserve">general </w:t>
      </w:r>
      <w:r w:rsidR="009C63B0" w:rsidRPr="00BD3DEF">
        <w:rPr>
          <w:rFonts w:ascii="Circular Std Book" w:hAnsi="Circular Std Book" w:cs="Circular Std Book"/>
        </w:rPr>
        <w:t xml:space="preserve">health compared to </w:t>
      </w:r>
      <w:r w:rsidR="00BE5F82">
        <w:rPr>
          <w:rFonts w:ascii="Circular Std Book" w:hAnsi="Circular Std Book" w:cs="Circular Std Book"/>
        </w:rPr>
        <w:t>those in o</w:t>
      </w:r>
      <w:r w:rsidR="006A34A3">
        <w:rPr>
          <w:rFonts w:ascii="Circular Std Book" w:hAnsi="Circular Std Book" w:cs="Circular Std Book"/>
        </w:rPr>
        <w:t xml:space="preserve">ther </w:t>
      </w:r>
      <w:r w:rsidR="009C63B0" w:rsidRPr="00BD3DEF">
        <w:rPr>
          <w:rFonts w:ascii="Circular Std Book" w:hAnsi="Circular Std Book" w:cs="Circular Std Book"/>
        </w:rPr>
        <w:t xml:space="preserve">metropolitan </w:t>
      </w:r>
      <w:r w:rsidR="003E085E" w:rsidRPr="00BD3DEF">
        <w:rPr>
          <w:rFonts w:ascii="Circular Std Book" w:hAnsi="Circular Std Book" w:cs="Circular Std Book"/>
        </w:rPr>
        <w:t>municipalities</w:t>
      </w:r>
      <w:r w:rsidR="00273FD2" w:rsidRPr="00BD3DEF">
        <w:rPr>
          <w:rFonts w:ascii="Circular Std Book" w:hAnsi="Circular Std Book" w:cs="Circular Std Book"/>
        </w:rPr>
        <w:t xml:space="preserve">, however </w:t>
      </w:r>
      <w:r w:rsidR="00A6045E" w:rsidRPr="00BD3DEF">
        <w:rPr>
          <w:rFonts w:ascii="Circular Std Book" w:hAnsi="Circular Std Book" w:cs="Circular Std Book"/>
        </w:rPr>
        <w:t>self-reported general health is getting worse</w:t>
      </w:r>
      <w:r w:rsidR="0098572F" w:rsidRPr="00BD3DEF">
        <w:rPr>
          <w:rFonts w:ascii="Circular Std Book" w:hAnsi="Circular Std Book" w:cs="Circular Std Book"/>
        </w:rPr>
        <w:t xml:space="preserve"> (i.e. 2021 - 59.2</w:t>
      </w:r>
      <w:r w:rsidR="006A34A3">
        <w:rPr>
          <w:rFonts w:ascii="Circular Std Book" w:hAnsi="Circular Std Book" w:cs="Circular Std Book"/>
        </w:rPr>
        <w:t xml:space="preserve"> pe cent</w:t>
      </w:r>
      <w:r w:rsidR="0098572F" w:rsidRPr="00BD3DEF">
        <w:rPr>
          <w:rFonts w:ascii="Circular Std Book" w:hAnsi="Circular Std Book" w:cs="Circular Std Book"/>
        </w:rPr>
        <w:t xml:space="preserve"> of women reported excellent or very good health compared to 70.1 </w:t>
      </w:r>
      <w:r w:rsidR="006A34A3">
        <w:rPr>
          <w:rFonts w:ascii="Circular Std Book" w:hAnsi="Circular Std Book" w:cs="Circular Std Book"/>
        </w:rPr>
        <w:t>per cent</w:t>
      </w:r>
      <w:r w:rsidR="0098572F" w:rsidRPr="00BD3DEF">
        <w:rPr>
          <w:rFonts w:ascii="Circular Std Book" w:hAnsi="Circular Std Book" w:cs="Circular Std Book"/>
        </w:rPr>
        <w:t xml:space="preserve"> in 2019; men 2021 - 62.2</w:t>
      </w:r>
      <w:r w:rsidR="006A34A3">
        <w:rPr>
          <w:rFonts w:ascii="Circular Std Book" w:hAnsi="Circular Std Book" w:cs="Circular Std Book"/>
        </w:rPr>
        <w:t xml:space="preserve"> per cent</w:t>
      </w:r>
      <w:r w:rsidR="0098572F" w:rsidRPr="00BD3DEF">
        <w:rPr>
          <w:rFonts w:ascii="Circular Std Book" w:hAnsi="Circular Std Book" w:cs="Circular Std Book"/>
        </w:rPr>
        <w:t>, 2019 -</w:t>
      </w:r>
      <w:proofErr w:type="gramStart"/>
      <w:r w:rsidR="0098572F" w:rsidRPr="00BD3DEF">
        <w:rPr>
          <w:rFonts w:ascii="Circular Std Book" w:hAnsi="Circular Std Book" w:cs="Circular Std Book"/>
        </w:rPr>
        <w:t>64.%</w:t>
      </w:r>
      <w:proofErr w:type="gramEnd"/>
      <w:r w:rsidR="006A34A3">
        <w:rPr>
          <w:rFonts w:ascii="Circular Std Book" w:hAnsi="Circular Std Book" w:cs="Circular Std Book"/>
        </w:rPr>
        <w:t xml:space="preserve"> per cent</w:t>
      </w:r>
      <w:r w:rsidR="0098572F" w:rsidRPr="00BD3DEF">
        <w:rPr>
          <w:rFonts w:ascii="Circular Std Book" w:hAnsi="Circular Std Book" w:cs="Circular Std Book"/>
        </w:rPr>
        <w:t xml:space="preserve"> </w:t>
      </w:r>
    </w:p>
    <w:p w14:paraId="2BE39979" w14:textId="6456E0CE" w:rsidR="00B63864" w:rsidRPr="00BD3DEF" w:rsidRDefault="00B7223A" w:rsidP="00BD3DEF">
      <w:pPr>
        <w:pStyle w:val="ListParagraph"/>
        <w:numPr>
          <w:ilvl w:val="0"/>
          <w:numId w:val="25"/>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A</w:t>
      </w:r>
      <w:r w:rsidR="00B63864" w:rsidRPr="00BD3DEF">
        <w:rPr>
          <w:rFonts w:ascii="Circular Std Book" w:hAnsi="Circular Std Book" w:cs="Circular Std Book"/>
        </w:rPr>
        <w:t>dults from Airport West had the lowest levels of reporting very good or excellent health (47.6</w:t>
      </w:r>
      <w:r w:rsidR="0098572F" w:rsidRPr="00BD3DEF">
        <w:rPr>
          <w:rFonts w:ascii="Circular Std Book" w:hAnsi="Circular Std Book" w:cs="Circular Std Book"/>
        </w:rPr>
        <w:t xml:space="preserve"> </w:t>
      </w:r>
      <w:r w:rsidR="00B63864" w:rsidRPr="00BD3DEF">
        <w:rPr>
          <w:rFonts w:ascii="Circular Std Book" w:hAnsi="Circular Std Book" w:cs="Circular Std Book"/>
        </w:rPr>
        <w:t>per cent</w:t>
      </w:r>
      <w:r w:rsidR="0098572F" w:rsidRPr="00BD3DEF">
        <w:rPr>
          <w:rFonts w:ascii="Circular Std Book" w:hAnsi="Circular Std Book" w:cs="Circular Std Book"/>
        </w:rPr>
        <w:t>)</w:t>
      </w:r>
      <w:r w:rsidR="00B63864" w:rsidRPr="00BD3DEF">
        <w:rPr>
          <w:rFonts w:ascii="Circular Std Book" w:hAnsi="Circular Std Book" w:cs="Circular Std Book"/>
        </w:rPr>
        <w:t xml:space="preserve">, whereas adults from Strathmore Heights had the </w:t>
      </w:r>
      <w:r w:rsidR="003D30E7" w:rsidRPr="00BD3DEF">
        <w:rPr>
          <w:rFonts w:ascii="Circular Std Book" w:hAnsi="Circular Std Book" w:cs="Circular Std Book"/>
        </w:rPr>
        <w:t>highest</w:t>
      </w:r>
      <w:r w:rsidR="00B63864" w:rsidRPr="00BD3DEF">
        <w:rPr>
          <w:rFonts w:ascii="Circular Std Book" w:hAnsi="Circular Std Book" w:cs="Circular Std Book"/>
        </w:rPr>
        <w:t xml:space="preserve"> levels of reporting very good or excellent health (68.4</w:t>
      </w:r>
      <w:r w:rsidR="00821384" w:rsidRPr="00BD3DEF">
        <w:rPr>
          <w:rFonts w:ascii="Circular Std Book" w:hAnsi="Circular Std Book" w:cs="Circular Std Book"/>
        </w:rPr>
        <w:t xml:space="preserve"> </w:t>
      </w:r>
      <w:r w:rsidR="00B63864" w:rsidRPr="00BD3DEF">
        <w:rPr>
          <w:rFonts w:ascii="Circular Std Book" w:hAnsi="Circular Std Book" w:cs="Circular Std Book"/>
        </w:rPr>
        <w:t>per cent)</w:t>
      </w:r>
    </w:p>
    <w:p w14:paraId="5583870E" w14:textId="303E32CE" w:rsidR="003E085E" w:rsidRPr="00BD3DEF" w:rsidRDefault="002145A7" w:rsidP="00BD3DEF">
      <w:pPr>
        <w:pStyle w:val="ListParagraph"/>
        <w:numPr>
          <w:ilvl w:val="0"/>
          <w:numId w:val="25"/>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 xml:space="preserve">Mental health </w:t>
      </w:r>
      <w:r w:rsidR="009C63B0" w:rsidRPr="00BD3DEF">
        <w:rPr>
          <w:rFonts w:ascii="Circular Std Book" w:hAnsi="Circular Std Book" w:cs="Circular Std Book"/>
        </w:rPr>
        <w:t xml:space="preserve">among </w:t>
      </w:r>
      <w:r w:rsidR="00E37EA5" w:rsidRPr="00BD3DEF">
        <w:rPr>
          <w:rFonts w:ascii="Circular Std Book" w:hAnsi="Circular Std Book" w:cs="Circular Std Book"/>
        </w:rPr>
        <w:t>Moonee Valley</w:t>
      </w:r>
      <w:r w:rsidR="0047476D">
        <w:rPr>
          <w:rFonts w:ascii="Circular Std Book" w:hAnsi="Circular Std Book" w:cs="Circular Std Book"/>
        </w:rPr>
        <w:t>’s</w:t>
      </w:r>
      <w:r w:rsidR="00E37EA5" w:rsidRPr="00BD3DEF">
        <w:rPr>
          <w:rFonts w:ascii="Circular Std Book" w:hAnsi="Circular Std Book" w:cs="Circular Std Book"/>
        </w:rPr>
        <w:t xml:space="preserve"> </w:t>
      </w:r>
      <w:r w:rsidR="003E085E" w:rsidRPr="00BD3DEF">
        <w:rPr>
          <w:rFonts w:ascii="Circular Std Book" w:hAnsi="Circular Std Book" w:cs="Circular Std Book"/>
        </w:rPr>
        <w:t>residents</w:t>
      </w:r>
      <w:r w:rsidR="009C63B0" w:rsidRPr="00BD3DEF">
        <w:rPr>
          <w:rFonts w:ascii="Circular Std Book" w:hAnsi="Circular Std Book" w:cs="Circular Std Book"/>
        </w:rPr>
        <w:t xml:space="preserve"> is </w:t>
      </w:r>
      <w:r w:rsidR="003E085E" w:rsidRPr="00BD3DEF">
        <w:rPr>
          <w:rFonts w:ascii="Circular Std Book" w:hAnsi="Circular Std Book" w:cs="Circular Std Book"/>
        </w:rPr>
        <w:t>poorer than other metropolitan municipalities</w:t>
      </w:r>
    </w:p>
    <w:p w14:paraId="31E10498" w14:textId="0345A816" w:rsidR="002145A7" w:rsidRPr="00BD3DEF" w:rsidRDefault="009C63B0" w:rsidP="00BD3DEF">
      <w:pPr>
        <w:pStyle w:val="ListParagraph"/>
        <w:numPr>
          <w:ilvl w:val="0"/>
          <w:numId w:val="25"/>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 xml:space="preserve">Young </w:t>
      </w:r>
      <w:r w:rsidRPr="00EB7E00">
        <w:rPr>
          <w:rFonts w:ascii="Circular Std Book" w:hAnsi="Circular Std Book" w:cs="Circular Std Book"/>
        </w:rPr>
        <w:t>people</w:t>
      </w:r>
      <w:r w:rsidR="00B63864" w:rsidRPr="00EB7E00">
        <w:rPr>
          <w:rFonts w:ascii="Circular Std Book" w:hAnsi="Circular Std Book" w:cs="Circular Std Book"/>
        </w:rPr>
        <w:t xml:space="preserve"> </w:t>
      </w:r>
      <w:r w:rsidR="00821384" w:rsidRPr="00EB7E00">
        <w:rPr>
          <w:rFonts w:ascii="Circular Std Book" w:hAnsi="Circular Std Book" w:cs="Circular Std Book"/>
        </w:rPr>
        <w:t>aged 12-25</w:t>
      </w:r>
      <w:r w:rsidR="0047476D">
        <w:rPr>
          <w:rFonts w:ascii="Circular Std Book" w:hAnsi="Circular Std Book" w:cs="Circular Std Book"/>
        </w:rPr>
        <w:t xml:space="preserve"> in</w:t>
      </w:r>
      <w:r w:rsidR="00821384" w:rsidRPr="00EB7E00">
        <w:rPr>
          <w:rFonts w:ascii="Circular Std Book" w:hAnsi="Circular Std Book" w:cs="Circular Std Book"/>
        </w:rPr>
        <w:t xml:space="preserve"> </w:t>
      </w:r>
      <w:r w:rsidRPr="00EB7E00">
        <w:rPr>
          <w:rFonts w:ascii="Circular Std Book" w:hAnsi="Circular Std Book" w:cs="Circular Std Book"/>
        </w:rPr>
        <w:t>Moonee</w:t>
      </w:r>
      <w:r w:rsidRPr="00BD3DEF">
        <w:rPr>
          <w:rFonts w:ascii="Circular Std Book" w:hAnsi="Circular Std Book" w:cs="Circular Std Book"/>
        </w:rPr>
        <w:t xml:space="preserve"> Valley experience poorer levels of mental and emotional wellbeing compare</w:t>
      </w:r>
      <w:r w:rsidR="0047476D">
        <w:rPr>
          <w:rFonts w:ascii="Circular Std Book" w:hAnsi="Circular Std Book" w:cs="Circular Std Book"/>
        </w:rPr>
        <w:t>d</w:t>
      </w:r>
      <w:r w:rsidRPr="00BD3DEF">
        <w:rPr>
          <w:rFonts w:ascii="Circular Std Book" w:hAnsi="Circular Std Book" w:cs="Circular Std Book"/>
        </w:rPr>
        <w:t xml:space="preserve"> to other Victorians. </w:t>
      </w:r>
      <w:r w:rsidR="003D30E7" w:rsidRPr="00BD3DEF">
        <w:rPr>
          <w:rFonts w:ascii="Circular Std Book" w:hAnsi="Circular Std Book" w:cs="Circular Std Book"/>
        </w:rPr>
        <w:t>(</w:t>
      </w:r>
      <w:r w:rsidR="0047476D">
        <w:rPr>
          <w:rFonts w:ascii="Circular Std Book" w:hAnsi="Circular Std Book" w:cs="Circular Std Book"/>
        </w:rPr>
        <w:t>e.g.</w:t>
      </w:r>
      <w:r w:rsidR="003D30E7" w:rsidRPr="00BD3DEF">
        <w:rPr>
          <w:rFonts w:ascii="Circular Std Book" w:hAnsi="Circular Std Book" w:cs="Circular Std Book"/>
        </w:rPr>
        <w:t xml:space="preserve"> </w:t>
      </w:r>
      <w:r w:rsidRPr="00BD3DEF">
        <w:rPr>
          <w:rFonts w:ascii="Circular Std Book" w:hAnsi="Circular Std Book" w:cs="Circular Std Book"/>
        </w:rPr>
        <w:t xml:space="preserve">19.5 </w:t>
      </w:r>
      <w:r w:rsidR="0017290D" w:rsidRPr="00BD3DEF">
        <w:rPr>
          <w:rFonts w:ascii="Circular Std Book" w:hAnsi="Circular Std Book" w:cs="Circular Std Book"/>
        </w:rPr>
        <w:t>per cent</w:t>
      </w:r>
      <w:r w:rsidRPr="00BD3DEF">
        <w:rPr>
          <w:rFonts w:ascii="Circular Std Book" w:hAnsi="Circular Std Book" w:cs="Circular Std Book"/>
        </w:rPr>
        <w:t xml:space="preserve"> Victorian average 13</w:t>
      </w:r>
      <w:r w:rsidR="003D30E7" w:rsidRPr="00BD3DEF">
        <w:rPr>
          <w:rFonts w:ascii="Circular Std Book" w:hAnsi="Circular Std Book" w:cs="Circular Std Book"/>
        </w:rPr>
        <w:t>%)</w:t>
      </w:r>
    </w:p>
    <w:p w14:paraId="207A1343" w14:textId="77777777" w:rsidR="0029381A" w:rsidRPr="00BD3DEF" w:rsidRDefault="0029381A" w:rsidP="00BD3DEF">
      <w:pPr>
        <w:pStyle w:val="ListParagraph"/>
        <w:numPr>
          <w:ilvl w:val="0"/>
          <w:numId w:val="25"/>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Falls are the leading cause of injury requiring admission to emergency department</w:t>
      </w:r>
    </w:p>
    <w:p w14:paraId="0641B53B" w14:textId="3687D1BD" w:rsidR="0029381A" w:rsidRPr="00BD3DEF" w:rsidRDefault="0029381A" w:rsidP="00BD3DEF">
      <w:pPr>
        <w:pStyle w:val="ListParagraph"/>
        <w:numPr>
          <w:ilvl w:val="0"/>
          <w:numId w:val="25"/>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Coronary heart disease is the leading cause of death</w:t>
      </w:r>
    </w:p>
    <w:p w14:paraId="21D23B47" w14:textId="77777777" w:rsidR="002145A7" w:rsidRPr="00BD3DEF" w:rsidRDefault="009C63B0" w:rsidP="00BD3DEF">
      <w:pPr>
        <w:pStyle w:val="ListParagraph"/>
        <w:numPr>
          <w:ilvl w:val="0"/>
          <w:numId w:val="25"/>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Alzheimer’s</w:t>
      </w:r>
      <w:r w:rsidR="002145A7" w:rsidRPr="00BD3DEF">
        <w:rPr>
          <w:rFonts w:ascii="Circular Std Book" w:hAnsi="Circular Std Book" w:cs="Circular Std Book"/>
        </w:rPr>
        <w:t xml:space="preserve"> disease</w:t>
      </w:r>
      <w:r w:rsidR="00EB7E00">
        <w:rPr>
          <w:rFonts w:ascii="Circular Std Book" w:hAnsi="Circular Std Book" w:cs="Circular Std Book"/>
        </w:rPr>
        <w:t xml:space="preserve"> is</w:t>
      </w:r>
      <w:r w:rsidRPr="00BD3DEF">
        <w:rPr>
          <w:rFonts w:ascii="Circular Std Book" w:hAnsi="Circular Std Book" w:cs="Circular Std Book"/>
        </w:rPr>
        <w:t xml:space="preserve"> likely to increase</w:t>
      </w:r>
      <w:r w:rsidR="00EB7E00">
        <w:rPr>
          <w:rFonts w:ascii="Circular Std Book" w:hAnsi="Circular Std Book" w:cs="Circular Std Book"/>
        </w:rPr>
        <w:t xml:space="preserve"> given the ageing population</w:t>
      </w:r>
    </w:p>
    <w:p w14:paraId="1938D808" w14:textId="77777777" w:rsidR="00941B15" w:rsidRPr="00BD3DEF" w:rsidRDefault="002145A7" w:rsidP="00BD3DEF">
      <w:pPr>
        <w:pStyle w:val="ListParagraph"/>
        <w:numPr>
          <w:ilvl w:val="0"/>
          <w:numId w:val="25"/>
        </w:numPr>
        <w:pBdr>
          <w:top w:val="single" w:sz="4" w:space="1" w:color="auto"/>
          <w:bottom w:val="single" w:sz="4" w:space="1" w:color="auto"/>
        </w:pBdr>
        <w:spacing w:line="360" w:lineRule="auto"/>
        <w:rPr>
          <w:rFonts w:ascii="Circular Std Book" w:hAnsi="Circular Std Book" w:cs="Circular Std Book"/>
        </w:rPr>
      </w:pPr>
      <w:r w:rsidRPr="00BD3DEF">
        <w:rPr>
          <w:rFonts w:ascii="Circular Std Book" w:hAnsi="Circular Std Book" w:cs="Circular Std Book"/>
        </w:rPr>
        <w:t>Climate related health</w:t>
      </w:r>
      <w:r w:rsidR="009C63B0" w:rsidRPr="00BD3DEF">
        <w:rPr>
          <w:rFonts w:ascii="Circular Std Book" w:hAnsi="Circular Std Book" w:cs="Circular Std Book"/>
        </w:rPr>
        <w:t xml:space="preserve"> </w:t>
      </w:r>
      <w:r w:rsidR="0029381A" w:rsidRPr="00BD3DEF">
        <w:rPr>
          <w:rFonts w:ascii="Circular Std Book" w:hAnsi="Circular Std Book" w:cs="Circular Std Book"/>
        </w:rPr>
        <w:t xml:space="preserve">impacts </w:t>
      </w:r>
      <w:r w:rsidR="0098572F" w:rsidRPr="00BD3DEF">
        <w:rPr>
          <w:rFonts w:ascii="Circular Std Book" w:hAnsi="Circular Std Book" w:cs="Circular Std Book"/>
        </w:rPr>
        <w:t xml:space="preserve">are </w:t>
      </w:r>
      <w:r w:rsidR="009C63B0" w:rsidRPr="00BD3DEF">
        <w:rPr>
          <w:rFonts w:ascii="Circular Std Book" w:hAnsi="Circular Std Book" w:cs="Circular Std Book"/>
        </w:rPr>
        <w:t>an emerging issue</w:t>
      </w:r>
    </w:p>
    <w:p w14:paraId="7E069194" w14:textId="77777777" w:rsidR="00612C3A" w:rsidRDefault="00612C3A" w:rsidP="000E3407">
      <w:pPr>
        <w:rPr>
          <w:rFonts w:cs="Arial"/>
        </w:rPr>
      </w:pPr>
    </w:p>
    <w:p w14:paraId="2BC2237F" w14:textId="29498C7C" w:rsidR="00612C3A" w:rsidRDefault="00612C3A" w:rsidP="00612C3A">
      <w:pPr>
        <w:jc w:val="center"/>
        <w:rPr>
          <w:rFonts w:cs="Arial"/>
        </w:rPr>
      </w:pPr>
      <w:r>
        <w:rPr>
          <w:rFonts w:cs="Arial"/>
          <w:noProof/>
        </w:rPr>
        <w:drawing>
          <wp:inline distT="0" distB="0" distL="0" distR="0" wp14:anchorId="059F39BB" wp14:editId="0B835F14">
            <wp:extent cx="1820884" cy="1752600"/>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2709880.tmp"/>
                    <pic:cNvPicPr/>
                  </pic:nvPicPr>
                  <pic:blipFill>
                    <a:blip r:embed="rId83">
                      <a:extLst>
                        <a:ext uri="{28A0092B-C50C-407E-A947-70E740481C1C}">
                          <a14:useLocalDpi xmlns:a14="http://schemas.microsoft.com/office/drawing/2010/main" val="0"/>
                        </a:ext>
                      </a:extLst>
                    </a:blip>
                    <a:stretch>
                      <a:fillRect/>
                    </a:stretch>
                  </pic:blipFill>
                  <pic:spPr>
                    <a:xfrm>
                      <a:off x="0" y="0"/>
                      <a:ext cx="1845934" cy="1776710"/>
                    </a:xfrm>
                    <a:prstGeom prst="rect">
                      <a:avLst/>
                    </a:prstGeom>
                  </pic:spPr>
                </pic:pic>
              </a:graphicData>
            </a:graphic>
          </wp:inline>
        </w:drawing>
      </w:r>
    </w:p>
    <w:p w14:paraId="7B01BC8D" w14:textId="77777777" w:rsidR="00612C3A" w:rsidRDefault="00612C3A" w:rsidP="000E3407">
      <w:pPr>
        <w:rPr>
          <w:rFonts w:cs="Arial"/>
        </w:rPr>
      </w:pPr>
    </w:p>
    <w:p w14:paraId="6B743222" w14:textId="5F659B7C" w:rsidR="00CD05CF" w:rsidRPr="00BD3DEF" w:rsidRDefault="004230BA" w:rsidP="000E3407">
      <w:pPr>
        <w:rPr>
          <w:rFonts w:asciiTheme="minorHAnsi" w:hAnsiTheme="minorHAnsi" w:cstheme="minorHAnsi"/>
        </w:rPr>
      </w:pPr>
      <w:r w:rsidRPr="00B2525C">
        <w:rPr>
          <w:rFonts w:cs="Arial"/>
        </w:rPr>
        <w:lastRenderedPageBreak/>
        <w:t>Health reflects the complex interactions of a person’s genetics, lifestyle and environment</w:t>
      </w:r>
      <w:r w:rsidR="00B63864" w:rsidRPr="00B2525C">
        <w:rPr>
          <w:rFonts w:cs="Arial"/>
        </w:rPr>
        <w:t xml:space="preserve">. </w:t>
      </w:r>
      <w:r w:rsidR="00941B15" w:rsidRPr="00B2525C">
        <w:rPr>
          <w:rFonts w:cs="Arial"/>
        </w:rPr>
        <w:t>The study of public health is focused on understanding the causes and consequences of health and disease in the community, and on improving health and wellbeing through addressing the disparities in health status between groups in our society.</w:t>
      </w:r>
      <w:bookmarkStart w:id="51" w:name="_Toc57731170"/>
      <w:r w:rsidR="000E3407" w:rsidRPr="00B2525C">
        <w:rPr>
          <w:rFonts w:cs="Arial"/>
        </w:rPr>
        <w:t xml:space="preserve"> </w:t>
      </w:r>
      <w:r w:rsidR="00CD05CF" w:rsidRPr="00B2525C">
        <w:rPr>
          <w:rFonts w:cs="Arial"/>
        </w:rPr>
        <w:t xml:space="preserve">There are a number of indicators </w:t>
      </w:r>
      <w:r w:rsidR="000E3407" w:rsidRPr="00B2525C">
        <w:rPr>
          <w:rFonts w:cs="Arial"/>
        </w:rPr>
        <w:t xml:space="preserve">that can be used to </w:t>
      </w:r>
      <w:r w:rsidR="00CD05CF" w:rsidRPr="00B2525C">
        <w:rPr>
          <w:rFonts w:cs="Arial"/>
        </w:rPr>
        <w:t>identify the health</w:t>
      </w:r>
      <w:r w:rsidR="000E3407" w:rsidRPr="00B2525C">
        <w:rPr>
          <w:rFonts w:cs="Arial"/>
        </w:rPr>
        <w:t xml:space="preserve"> status</w:t>
      </w:r>
      <w:r w:rsidR="00CD05CF" w:rsidRPr="00B2525C">
        <w:rPr>
          <w:rFonts w:cs="Arial"/>
        </w:rPr>
        <w:t xml:space="preserve"> of</w:t>
      </w:r>
      <w:r w:rsidR="006A34A3">
        <w:rPr>
          <w:rFonts w:cs="Arial"/>
        </w:rPr>
        <w:t xml:space="preserve"> the</w:t>
      </w:r>
      <w:r w:rsidR="00CD05CF" w:rsidRPr="00B2525C">
        <w:rPr>
          <w:rFonts w:cs="Arial"/>
        </w:rPr>
        <w:t xml:space="preserve"> </w:t>
      </w:r>
      <w:r w:rsidR="00E37EA5" w:rsidRPr="00B2525C">
        <w:rPr>
          <w:rFonts w:cs="Arial"/>
        </w:rPr>
        <w:t xml:space="preserve">Moonee Valley </w:t>
      </w:r>
      <w:r w:rsidR="00116EEC">
        <w:rPr>
          <w:rFonts w:cs="Arial"/>
        </w:rPr>
        <w:t>community</w:t>
      </w:r>
      <w:r w:rsidR="0047476D">
        <w:rPr>
          <w:rFonts w:cs="Arial"/>
        </w:rPr>
        <w:t>,</w:t>
      </w:r>
      <w:r w:rsidR="000E3407" w:rsidRPr="00B2525C">
        <w:rPr>
          <w:rFonts w:cs="Arial"/>
        </w:rPr>
        <w:t xml:space="preserve"> paying particular attention to any health </w:t>
      </w:r>
      <w:r w:rsidR="009C63B0" w:rsidRPr="00B2525C">
        <w:rPr>
          <w:rFonts w:cs="Arial"/>
        </w:rPr>
        <w:t>inequities</w:t>
      </w:r>
      <w:r w:rsidR="000E3407" w:rsidRPr="00B2525C">
        <w:rPr>
          <w:rFonts w:cs="Arial"/>
        </w:rPr>
        <w:t xml:space="preserve"> within our </w:t>
      </w:r>
      <w:r w:rsidR="00B63864" w:rsidRPr="00B2525C">
        <w:rPr>
          <w:rFonts w:cs="Arial"/>
        </w:rPr>
        <w:t>target populations</w:t>
      </w:r>
      <w:r w:rsidR="000E3407" w:rsidRPr="00B2525C">
        <w:rPr>
          <w:rFonts w:cs="Arial"/>
        </w:rPr>
        <w:t xml:space="preserve">. </w:t>
      </w:r>
      <w:r w:rsidR="000E3407" w:rsidRPr="0047476D">
        <w:rPr>
          <w:rFonts w:cs="Circular Std Book"/>
        </w:rPr>
        <w:t>These include:</w:t>
      </w:r>
    </w:p>
    <w:p w14:paraId="63B44300" w14:textId="77777777" w:rsidR="000E3407" w:rsidRPr="00747847" w:rsidRDefault="000E3407" w:rsidP="00747847">
      <w:pPr>
        <w:pStyle w:val="ListParagraph"/>
        <w:numPr>
          <w:ilvl w:val="0"/>
          <w:numId w:val="6"/>
        </w:numPr>
        <w:spacing w:line="276" w:lineRule="auto"/>
        <w:rPr>
          <w:rFonts w:ascii="Circular Std Book" w:hAnsi="Circular Std Book" w:cs="Circular Std Book"/>
        </w:rPr>
      </w:pPr>
      <w:r w:rsidRPr="00747847">
        <w:rPr>
          <w:rFonts w:ascii="Circular Std Book" w:hAnsi="Circular Std Book" w:cs="Circular Std Book"/>
        </w:rPr>
        <w:t>Life expectancy at</w:t>
      </w:r>
      <w:r w:rsidRPr="00747847">
        <w:rPr>
          <w:rFonts w:ascii="Circular Std Book" w:hAnsi="Circular Std Book" w:cs="Circular Std Book"/>
          <w:spacing w:val="-16"/>
        </w:rPr>
        <w:t xml:space="preserve"> </w:t>
      </w:r>
      <w:r w:rsidRPr="00747847">
        <w:rPr>
          <w:rFonts w:ascii="Circular Std Book" w:hAnsi="Circular Std Book" w:cs="Circular Std Book"/>
        </w:rPr>
        <w:t>birth</w:t>
      </w:r>
    </w:p>
    <w:p w14:paraId="157B528F" w14:textId="77777777" w:rsidR="00CD05CF" w:rsidRPr="00747847" w:rsidRDefault="00CD05CF" w:rsidP="00747847">
      <w:pPr>
        <w:pStyle w:val="ListParagraph"/>
        <w:numPr>
          <w:ilvl w:val="0"/>
          <w:numId w:val="6"/>
        </w:numPr>
        <w:spacing w:line="276" w:lineRule="auto"/>
        <w:rPr>
          <w:rFonts w:ascii="Circular Std Book" w:hAnsi="Circular Std Book" w:cs="Circular Std Book"/>
        </w:rPr>
      </w:pPr>
      <w:r w:rsidRPr="00747847">
        <w:rPr>
          <w:rFonts w:ascii="Circular Std Book" w:hAnsi="Circular Std Book" w:cs="Circular Std Book"/>
        </w:rPr>
        <w:t>Self-reported</w:t>
      </w:r>
      <w:r w:rsidRPr="00747847">
        <w:rPr>
          <w:rFonts w:ascii="Circular Std Book" w:hAnsi="Circular Std Book" w:cs="Circular Std Book"/>
          <w:spacing w:val="-4"/>
        </w:rPr>
        <w:t xml:space="preserve"> </w:t>
      </w:r>
      <w:r w:rsidRPr="00747847">
        <w:rPr>
          <w:rFonts w:ascii="Circular Std Book" w:hAnsi="Circular Std Book" w:cs="Circular Std Book"/>
        </w:rPr>
        <w:t>health</w:t>
      </w:r>
    </w:p>
    <w:p w14:paraId="371AFF95" w14:textId="77777777" w:rsidR="000E3407" w:rsidRPr="00747847" w:rsidRDefault="000E3407" w:rsidP="00747847">
      <w:pPr>
        <w:pStyle w:val="ListParagraph"/>
        <w:numPr>
          <w:ilvl w:val="0"/>
          <w:numId w:val="6"/>
        </w:numPr>
        <w:spacing w:line="276" w:lineRule="auto"/>
        <w:rPr>
          <w:rFonts w:ascii="Circular Std Book" w:hAnsi="Circular Std Book" w:cs="Circular Std Book"/>
        </w:rPr>
      </w:pPr>
      <w:r w:rsidRPr="00747847">
        <w:rPr>
          <w:rFonts w:ascii="Circular Std Book" w:hAnsi="Circular Std Book" w:cs="Circular Std Book"/>
        </w:rPr>
        <w:t>Chronic disease</w:t>
      </w:r>
    </w:p>
    <w:p w14:paraId="21CBC37C" w14:textId="77777777" w:rsidR="000E3407" w:rsidRPr="00747847" w:rsidRDefault="000E3407" w:rsidP="00747847">
      <w:pPr>
        <w:pStyle w:val="ListParagraph"/>
        <w:numPr>
          <w:ilvl w:val="0"/>
          <w:numId w:val="6"/>
        </w:numPr>
        <w:spacing w:line="276" w:lineRule="auto"/>
        <w:rPr>
          <w:rFonts w:ascii="Circular Std Book" w:hAnsi="Circular Std Book" w:cs="Circular Std Book"/>
        </w:rPr>
      </w:pPr>
      <w:r w:rsidRPr="00747847">
        <w:rPr>
          <w:rFonts w:ascii="Circular Std Book" w:hAnsi="Circular Std Book" w:cs="Circular Std Book"/>
        </w:rPr>
        <w:t>Dental health</w:t>
      </w:r>
    </w:p>
    <w:p w14:paraId="0FA84347" w14:textId="77777777" w:rsidR="000E3407" w:rsidRPr="00747847" w:rsidRDefault="000E3407" w:rsidP="00747847">
      <w:pPr>
        <w:pStyle w:val="ListParagraph"/>
        <w:numPr>
          <w:ilvl w:val="0"/>
          <w:numId w:val="6"/>
        </w:numPr>
        <w:spacing w:line="276" w:lineRule="auto"/>
        <w:rPr>
          <w:rFonts w:ascii="Circular Std Book" w:hAnsi="Circular Std Book" w:cs="Circular Std Book"/>
        </w:rPr>
      </w:pPr>
      <w:r w:rsidRPr="00747847">
        <w:rPr>
          <w:rFonts w:ascii="Circular Std Book" w:hAnsi="Circular Std Book" w:cs="Circular Std Book"/>
        </w:rPr>
        <w:t>Sexual and reproductive health</w:t>
      </w:r>
    </w:p>
    <w:p w14:paraId="4529ABF2" w14:textId="77777777" w:rsidR="000E3407" w:rsidRPr="00747847" w:rsidRDefault="000E3407" w:rsidP="00747847">
      <w:pPr>
        <w:pStyle w:val="ListParagraph"/>
        <w:numPr>
          <w:ilvl w:val="0"/>
          <w:numId w:val="6"/>
        </w:numPr>
        <w:spacing w:line="276" w:lineRule="auto"/>
        <w:rPr>
          <w:rFonts w:ascii="Circular Std Book" w:hAnsi="Circular Std Book" w:cs="Circular Std Book"/>
        </w:rPr>
      </w:pPr>
      <w:r w:rsidRPr="00747847">
        <w:rPr>
          <w:rFonts w:ascii="Circular Std Book" w:hAnsi="Circular Std Book" w:cs="Circular Std Book"/>
        </w:rPr>
        <w:t>Injury</w:t>
      </w:r>
    </w:p>
    <w:p w14:paraId="6AB642BF" w14:textId="77777777" w:rsidR="00CD05CF" w:rsidRDefault="000E3407" w:rsidP="00747847">
      <w:pPr>
        <w:pStyle w:val="ListParagraph"/>
        <w:numPr>
          <w:ilvl w:val="0"/>
          <w:numId w:val="6"/>
        </w:numPr>
        <w:spacing w:line="276" w:lineRule="auto"/>
        <w:rPr>
          <w:rFonts w:ascii="Circular Std Book" w:hAnsi="Circular Std Book" w:cs="Circular Std Book"/>
        </w:rPr>
      </w:pPr>
      <w:r w:rsidRPr="00747847">
        <w:rPr>
          <w:rFonts w:ascii="Circular Std Book" w:hAnsi="Circular Std Book" w:cs="Circular Std Book"/>
        </w:rPr>
        <w:t>Deaths</w:t>
      </w:r>
    </w:p>
    <w:p w14:paraId="38C4D4AA" w14:textId="222DE52C" w:rsidR="00B92E67" w:rsidRPr="00B92E67" w:rsidRDefault="003D3882" w:rsidP="00B92E67">
      <w:pPr>
        <w:pStyle w:val="Heading2"/>
        <w:rPr>
          <w:rFonts w:cs="Arial"/>
        </w:rPr>
      </w:pPr>
      <w:bookmarkStart w:id="52" w:name="_Hlk80362849"/>
      <w:r w:rsidRPr="00B2525C">
        <w:rPr>
          <w:rFonts w:cs="Arial"/>
        </w:rPr>
        <w:t>Life expectancy</w:t>
      </w:r>
      <w:bookmarkEnd w:id="51"/>
      <w:r w:rsidRPr="00B2525C">
        <w:rPr>
          <w:rFonts w:cs="Arial"/>
        </w:rPr>
        <w:t xml:space="preserve"> </w:t>
      </w:r>
    </w:p>
    <w:p w14:paraId="4E679382" w14:textId="77777777" w:rsidR="0010652B" w:rsidRDefault="0010652B" w:rsidP="003D3882">
      <w:pPr>
        <w:rPr>
          <w:rFonts w:cs="Arial"/>
        </w:rPr>
      </w:pPr>
    </w:p>
    <w:p w14:paraId="3473BCA8" w14:textId="72BE1782" w:rsidR="003D3882" w:rsidRPr="00B2525C" w:rsidRDefault="00D0233F" w:rsidP="003D3882">
      <w:pPr>
        <w:rPr>
          <w:rFonts w:cs="Arial"/>
        </w:rPr>
      </w:pPr>
      <w:r w:rsidRPr="00B2525C">
        <w:rPr>
          <w:rFonts w:cs="Arial"/>
        </w:rPr>
        <w:t>Australia has a relatively high life expectancy compared to other countries and l</w:t>
      </w:r>
      <w:r w:rsidR="000E3407" w:rsidRPr="00B2525C">
        <w:rPr>
          <w:rFonts w:cs="Arial"/>
        </w:rPr>
        <w:t>i</w:t>
      </w:r>
      <w:r w:rsidRPr="00B2525C">
        <w:rPr>
          <w:rFonts w:cs="Arial"/>
        </w:rPr>
        <w:t xml:space="preserve">fe expectancy is predicted to increase over time. </w:t>
      </w:r>
      <w:r w:rsidR="00F42B04" w:rsidRPr="00B2525C">
        <w:rPr>
          <w:rFonts w:cs="Arial"/>
        </w:rPr>
        <w:t>However</w:t>
      </w:r>
      <w:r w:rsidR="000E3407" w:rsidRPr="00B2525C">
        <w:rPr>
          <w:rFonts w:cs="Arial"/>
        </w:rPr>
        <w:t>,</w:t>
      </w:r>
      <w:r w:rsidR="00F42B04" w:rsidRPr="00B2525C">
        <w:rPr>
          <w:rFonts w:cs="Arial"/>
        </w:rPr>
        <w:t xml:space="preserve"> life </w:t>
      </w:r>
      <w:r w:rsidR="000E3407" w:rsidRPr="00B2525C">
        <w:rPr>
          <w:rFonts w:cs="Arial"/>
        </w:rPr>
        <w:t>expectancy</w:t>
      </w:r>
      <w:r w:rsidR="00F42B04" w:rsidRPr="00B2525C">
        <w:rPr>
          <w:rFonts w:cs="Arial"/>
        </w:rPr>
        <w:t xml:space="preserve"> is experienced unevenly and is </w:t>
      </w:r>
      <w:r w:rsidR="00EB7E00" w:rsidRPr="00B2525C">
        <w:rPr>
          <w:rFonts w:cs="Arial"/>
        </w:rPr>
        <w:t>affected</w:t>
      </w:r>
      <w:r w:rsidR="00F42B04" w:rsidRPr="00B2525C">
        <w:rPr>
          <w:rFonts w:cs="Arial"/>
        </w:rPr>
        <w:t xml:space="preserve"> by country of birth, sex</w:t>
      </w:r>
      <w:r w:rsidR="006A34A3">
        <w:rPr>
          <w:rFonts w:cs="Arial"/>
        </w:rPr>
        <w:t xml:space="preserve">, </w:t>
      </w:r>
      <w:r w:rsidR="00F42B04" w:rsidRPr="00B2525C">
        <w:rPr>
          <w:rFonts w:cs="Arial"/>
        </w:rPr>
        <w:t xml:space="preserve">social </w:t>
      </w:r>
      <w:r w:rsidR="000E3407" w:rsidRPr="00B2525C">
        <w:rPr>
          <w:rFonts w:cs="Arial"/>
        </w:rPr>
        <w:t xml:space="preserve">and </w:t>
      </w:r>
      <w:r w:rsidR="00F42B04" w:rsidRPr="00B2525C">
        <w:rPr>
          <w:rFonts w:cs="Arial"/>
        </w:rPr>
        <w:t xml:space="preserve">economic </w:t>
      </w:r>
      <w:r w:rsidR="000E3407" w:rsidRPr="00B2525C">
        <w:rPr>
          <w:rFonts w:cs="Arial"/>
        </w:rPr>
        <w:t>disadvantage</w:t>
      </w:r>
      <w:r w:rsidR="006A34A3">
        <w:rPr>
          <w:rFonts w:cs="Arial"/>
        </w:rPr>
        <w:t>,</w:t>
      </w:r>
      <w:r w:rsidR="00F42B04" w:rsidRPr="00B2525C">
        <w:rPr>
          <w:rFonts w:cs="Arial"/>
        </w:rPr>
        <w:t xml:space="preserve"> and discrimination. </w:t>
      </w:r>
      <w:r w:rsidR="000E3407" w:rsidRPr="00B2525C">
        <w:rPr>
          <w:rFonts w:cs="Arial"/>
        </w:rPr>
        <w:t>L</w:t>
      </w:r>
      <w:r w:rsidR="003D3882" w:rsidRPr="00B2525C">
        <w:rPr>
          <w:rFonts w:cs="Arial"/>
        </w:rPr>
        <w:t xml:space="preserve">ife expectancy in </w:t>
      </w:r>
      <w:r w:rsidR="00C06203" w:rsidRPr="00B2525C">
        <w:rPr>
          <w:rFonts w:cs="Arial"/>
        </w:rPr>
        <w:t>M</w:t>
      </w:r>
      <w:r w:rsidR="003D3882" w:rsidRPr="00B2525C">
        <w:rPr>
          <w:rFonts w:cs="Arial"/>
        </w:rPr>
        <w:t>oonee</w:t>
      </w:r>
      <w:r w:rsidR="000E3407" w:rsidRPr="00B2525C">
        <w:rPr>
          <w:rFonts w:cs="Arial"/>
        </w:rPr>
        <w:t xml:space="preserve"> </w:t>
      </w:r>
      <w:r w:rsidR="003D3882" w:rsidRPr="00B2525C">
        <w:rPr>
          <w:rFonts w:cs="Arial"/>
        </w:rPr>
        <w:t>valley</w:t>
      </w:r>
      <w:r w:rsidR="0029000B" w:rsidRPr="00B2525C">
        <w:rPr>
          <w:rFonts w:cs="Arial"/>
        </w:rPr>
        <w:t xml:space="preserve"> </w:t>
      </w:r>
      <w:r w:rsidR="00B835D6">
        <w:rPr>
          <w:rFonts w:cs="Arial"/>
        </w:rPr>
        <w:t>between 2017-19 was higher for women than men and ranged from</w:t>
      </w:r>
      <w:r w:rsidR="00570769" w:rsidRPr="00B2525C">
        <w:rPr>
          <w:rFonts w:cs="Arial"/>
        </w:rPr>
        <w:t xml:space="preserve"> </w:t>
      </w:r>
      <w:r w:rsidR="00F42B04" w:rsidRPr="00B2525C">
        <w:rPr>
          <w:rFonts w:cs="Arial"/>
        </w:rPr>
        <w:t>85.</w:t>
      </w:r>
      <w:r w:rsidR="00B835D6">
        <w:rPr>
          <w:rFonts w:cs="Arial"/>
        </w:rPr>
        <w:t>8 to 86.3</w:t>
      </w:r>
      <w:r w:rsidR="00F42B04" w:rsidRPr="00B2525C">
        <w:rPr>
          <w:rFonts w:cs="Arial"/>
        </w:rPr>
        <w:t xml:space="preserve"> years for women and </w:t>
      </w:r>
      <w:r w:rsidR="00B835D6">
        <w:rPr>
          <w:rFonts w:cs="Arial"/>
        </w:rPr>
        <w:t xml:space="preserve">81.9 to 83 years </w:t>
      </w:r>
      <w:r w:rsidR="00F42B04" w:rsidRPr="00B2525C">
        <w:rPr>
          <w:rFonts w:cs="Arial"/>
        </w:rPr>
        <w:t>for men</w:t>
      </w:r>
      <w:r w:rsidR="003D3882" w:rsidRPr="00B2525C">
        <w:rPr>
          <w:rFonts w:cs="Arial"/>
        </w:rPr>
        <w:t>.</w:t>
      </w:r>
    </w:p>
    <w:bookmarkEnd w:id="52"/>
    <w:p w14:paraId="57194216" w14:textId="77777777" w:rsidR="00941B15" w:rsidRPr="00B2525C" w:rsidRDefault="00941B15" w:rsidP="00A85DA8">
      <w:pPr>
        <w:rPr>
          <w:rFonts w:cs="Arial"/>
        </w:rPr>
      </w:pPr>
    </w:p>
    <w:p w14:paraId="7F0923A6" w14:textId="77777777" w:rsidR="00A165C4" w:rsidRPr="00B2525C" w:rsidRDefault="00A165C4" w:rsidP="00A165C4">
      <w:pPr>
        <w:pStyle w:val="Heading2"/>
        <w:rPr>
          <w:rFonts w:cs="Arial"/>
        </w:rPr>
      </w:pPr>
      <w:bookmarkStart w:id="53" w:name="self-reported-health"/>
      <w:bookmarkStart w:id="54" w:name="healthy-eating-and-food-security"/>
      <w:r w:rsidRPr="00B2525C">
        <w:rPr>
          <w:rFonts w:cs="Arial"/>
        </w:rPr>
        <w:t xml:space="preserve">Self-reported </w:t>
      </w:r>
      <w:r w:rsidR="003D3882" w:rsidRPr="00B2525C">
        <w:rPr>
          <w:rFonts w:cs="Arial"/>
        </w:rPr>
        <w:t xml:space="preserve">level of general </w:t>
      </w:r>
      <w:r w:rsidRPr="00B2525C">
        <w:rPr>
          <w:rFonts w:cs="Arial"/>
        </w:rPr>
        <w:t>health</w:t>
      </w:r>
      <w:bookmarkEnd w:id="53"/>
    </w:p>
    <w:p w14:paraId="1CA99975" w14:textId="77777777" w:rsidR="00180A7B" w:rsidRDefault="00180A7B" w:rsidP="00A165C4">
      <w:pPr>
        <w:rPr>
          <w:rFonts w:cs="Arial"/>
        </w:rPr>
      </w:pPr>
    </w:p>
    <w:p w14:paraId="3170E49D" w14:textId="77777777" w:rsidR="00A165C4" w:rsidRDefault="00A165C4" w:rsidP="00A165C4">
      <w:pPr>
        <w:rPr>
          <w:rFonts w:cs="Arial"/>
        </w:rPr>
      </w:pPr>
      <w:r w:rsidRPr="00B2525C">
        <w:rPr>
          <w:rFonts w:cs="Arial"/>
        </w:rPr>
        <w:t xml:space="preserve">Data from the Victorian Population Health Survey 2017 shows that about 47.5 per cent of Moonee Valley </w:t>
      </w:r>
      <w:r w:rsidR="00B63864" w:rsidRPr="00B2525C">
        <w:rPr>
          <w:rFonts w:cs="Arial"/>
        </w:rPr>
        <w:t>adults</w:t>
      </w:r>
      <w:r w:rsidRPr="00B2525C">
        <w:rPr>
          <w:rFonts w:cs="Arial"/>
        </w:rPr>
        <w:t xml:space="preserve"> reported either ‘excellent’ or ‘very good’ health. This is higher than for Victoria and the Western Melbourne Area (approximately 42 per cent).</w:t>
      </w:r>
    </w:p>
    <w:p w14:paraId="52FF1CF9" w14:textId="77777777" w:rsidR="00747847" w:rsidRDefault="00747847" w:rsidP="00A165C4">
      <w:pPr>
        <w:rPr>
          <w:rFonts w:cs="Arial"/>
        </w:rPr>
      </w:pPr>
    </w:p>
    <w:p w14:paraId="2007504E" w14:textId="165010B7" w:rsidR="00747847" w:rsidRPr="00B2525C" w:rsidRDefault="00747847" w:rsidP="00A165C4">
      <w:pPr>
        <w:rPr>
          <w:rFonts w:cs="Arial"/>
        </w:rPr>
      </w:pPr>
      <w:r w:rsidRPr="00747847">
        <w:rPr>
          <w:rFonts w:cs="Arial"/>
          <w:b/>
        </w:rPr>
        <w:t>Figure</w:t>
      </w:r>
      <w:r w:rsidR="00C81826">
        <w:rPr>
          <w:rFonts w:cs="Arial"/>
          <w:b/>
        </w:rPr>
        <w:t xml:space="preserve"> 53.</w:t>
      </w:r>
      <w:r>
        <w:rPr>
          <w:rFonts w:cs="Arial"/>
        </w:rPr>
        <w:t xml:space="preserve"> </w:t>
      </w:r>
      <w:r w:rsidRPr="00747847">
        <w:rPr>
          <w:rFonts w:cs="Arial"/>
          <w:lang w:val="en-US"/>
        </w:rPr>
        <w:t>Self-reported health (Excellent or very good health status</w:t>
      </w:r>
    </w:p>
    <w:p w14:paraId="53A07DA0" w14:textId="77777777" w:rsidR="00A165C4" w:rsidRPr="00B2525C" w:rsidRDefault="004E4EF6" w:rsidP="004E4EF6">
      <w:pPr>
        <w:pStyle w:val="NoSpacing"/>
        <w:rPr>
          <w:rFonts w:ascii="Arial" w:hAnsi="Arial" w:cs="Arial"/>
        </w:rPr>
      </w:pPr>
      <w:r w:rsidRPr="00B2525C">
        <w:rPr>
          <w:rFonts w:ascii="Arial" w:hAnsi="Arial" w:cs="Arial"/>
          <w:noProof/>
        </w:rPr>
        <w:drawing>
          <wp:inline distT="0" distB="0" distL="0" distR="0" wp14:anchorId="516DC125" wp14:editId="7A9783A0">
            <wp:extent cx="6148552" cy="2190750"/>
            <wp:effectExtent l="0" t="0" r="5080" b="0"/>
            <wp:docPr id="15" name="Chart 15">
              <a:extLst xmlns:a="http://schemas.openxmlformats.org/drawingml/2006/main">
                <a:ext uri="{FF2B5EF4-FFF2-40B4-BE49-F238E27FC236}">
                  <a16:creationId xmlns:a16="http://schemas.microsoft.com/office/drawing/2014/main" id="{9418B9E0-3ECA-4391-9BFA-AFBFAD253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F00534B" w14:textId="77777777" w:rsidR="004E4EF6" w:rsidRPr="00B2525C" w:rsidRDefault="004E4EF6" w:rsidP="004E4EF6">
      <w:pPr>
        <w:pStyle w:val="Caption"/>
        <w:rPr>
          <w:rFonts w:cs="Arial"/>
        </w:rPr>
      </w:pPr>
      <w:r w:rsidRPr="00B2525C">
        <w:rPr>
          <w:rFonts w:cs="Arial"/>
        </w:rPr>
        <w:t xml:space="preserve">Source: DHHS, Victorian </w:t>
      </w:r>
      <w:r w:rsidR="00186735" w:rsidRPr="00B2525C">
        <w:rPr>
          <w:rFonts w:cs="Arial"/>
        </w:rPr>
        <w:t>Population Health Survey, 2017</w:t>
      </w:r>
    </w:p>
    <w:p w14:paraId="3747093A" w14:textId="7692B10C" w:rsidR="00747847" w:rsidRDefault="000E3407" w:rsidP="00A165C4">
      <w:pPr>
        <w:rPr>
          <w:rFonts w:cs="Arial"/>
        </w:rPr>
      </w:pPr>
      <w:r w:rsidRPr="00B2525C">
        <w:rPr>
          <w:rFonts w:cs="Arial"/>
        </w:rPr>
        <w:lastRenderedPageBreak/>
        <w:t>W</w:t>
      </w:r>
      <w:r w:rsidR="00A165C4" w:rsidRPr="00B2525C">
        <w:rPr>
          <w:rFonts w:cs="Arial"/>
        </w:rPr>
        <w:t xml:space="preserve">omen in Moonee Valley were more likely to self-report higher levels of health than </w:t>
      </w:r>
      <w:r w:rsidRPr="00B2525C">
        <w:rPr>
          <w:rFonts w:cs="Arial"/>
        </w:rPr>
        <w:t>men</w:t>
      </w:r>
      <w:r w:rsidR="00A165C4" w:rsidRPr="00B2525C">
        <w:rPr>
          <w:rFonts w:cs="Arial"/>
        </w:rPr>
        <w:t>. About 42 per cent of men and 54 per cent of women reported ‘excellent’ or ‘very good’ levels of health.</w:t>
      </w:r>
    </w:p>
    <w:p w14:paraId="3B39C0D9" w14:textId="065F57D3" w:rsidR="00941B15" w:rsidRPr="00B2525C" w:rsidRDefault="00747847" w:rsidP="00A165C4">
      <w:pPr>
        <w:rPr>
          <w:rFonts w:cs="Arial"/>
        </w:rPr>
      </w:pPr>
      <w:r w:rsidRPr="00747847">
        <w:rPr>
          <w:rFonts w:cs="Arial"/>
          <w:b/>
        </w:rPr>
        <w:t>Figure</w:t>
      </w:r>
      <w:r w:rsidR="00C81826">
        <w:rPr>
          <w:rFonts w:cs="Arial"/>
        </w:rPr>
        <w:t xml:space="preserve"> 54.</w:t>
      </w:r>
      <w:r>
        <w:rPr>
          <w:rFonts w:cs="Arial"/>
        </w:rPr>
        <w:t xml:space="preserve"> </w:t>
      </w:r>
      <w:r w:rsidRPr="00747847">
        <w:rPr>
          <w:rFonts w:cs="Arial"/>
          <w:lang w:val="en-US"/>
        </w:rPr>
        <w:t>Self-reported health status by sex, Moonee Valley</w:t>
      </w:r>
    </w:p>
    <w:p w14:paraId="31A82950" w14:textId="77777777" w:rsidR="00A165C4" w:rsidRPr="00B2525C" w:rsidRDefault="00BA17F2" w:rsidP="00BA17F2">
      <w:pPr>
        <w:pStyle w:val="NoSpacing"/>
        <w:rPr>
          <w:rFonts w:ascii="Arial" w:hAnsi="Arial" w:cs="Arial"/>
        </w:rPr>
      </w:pPr>
      <w:r w:rsidRPr="00B2525C">
        <w:rPr>
          <w:rFonts w:ascii="Arial" w:hAnsi="Arial" w:cs="Arial"/>
          <w:noProof/>
        </w:rPr>
        <w:drawing>
          <wp:inline distT="0" distB="0" distL="0" distR="0" wp14:anchorId="21A19381" wp14:editId="4EA47170">
            <wp:extent cx="5801710" cy="2035175"/>
            <wp:effectExtent l="0" t="0" r="8890" b="3175"/>
            <wp:docPr id="10" name="Chart 10">
              <a:extLst xmlns:a="http://schemas.openxmlformats.org/drawingml/2006/main">
                <a:ext uri="{FF2B5EF4-FFF2-40B4-BE49-F238E27FC236}">
                  <a16:creationId xmlns:a16="http://schemas.microsoft.com/office/drawing/2014/main" id="{297AB9AE-956F-4165-9873-A4454430F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B45ABCB" w14:textId="77777777" w:rsidR="00BA17F2" w:rsidRPr="00B2525C" w:rsidRDefault="00BA17F2" w:rsidP="00BA17F2">
      <w:pPr>
        <w:pStyle w:val="Caption"/>
        <w:rPr>
          <w:rFonts w:cs="Arial"/>
        </w:rPr>
      </w:pPr>
      <w:r w:rsidRPr="00B2525C">
        <w:rPr>
          <w:rFonts w:cs="Arial"/>
        </w:rPr>
        <w:t>Source: DHHS, Victorian Population Health Survey, 2017</w:t>
      </w:r>
    </w:p>
    <w:p w14:paraId="5284B1C0" w14:textId="3A1A31A5" w:rsidR="00671084" w:rsidRDefault="002B6129" w:rsidP="00671084">
      <w:pPr>
        <w:rPr>
          <w:rFonts w:cs="Arial"/>
        </w:rPr>
      </w:pPr>
      <w:bookmarkStart w:id="55" w:name="chronic-disease-indigenous-language"/>
      <w:bookmarkEnd w:id="54"/>
      <w:r w:rsidRPr="00B2525C">
        <w:rPr>
          <w:rFonts w:cs="Arial"/>
        </w:rPr>
        <w:t>D</w:t>
      </w:r>
      <w:r w:rsidR="0098572F" w:rsidRPr="00B2525C">
        <w:rPr>
          <w:rFonts w:cs="Arial"/>
        </w:rPr>
        <w:t xml:space="preserve">ata </w:t>
      </w:r>
      <w:r w:rsidR="00671084" w:rsidRPr="00B2525C">
        <w:rPr>
          <w:rFonts w:cs="Arial"/>
        </w:rPr>
        <w:t xml:space="preserve">from </w:t>
      </w:r>
      <w:r w:rsidR="00E37EA5" w:rsidRPr="00B2525C">
        <w:rPr>
          <w:rFonts w:cs="Arial"/>
        </w:rPr>
        <w:t>Moonee Valley City Council</w:t>
      </w:r>
      <w:r w:rsidR="00671084" w:rsidRPr="00B2525C">
        <w:rPr>
          <w:rFonts w:cs="Arial"/>
        </w:rPr>
        <w:t xml:space="preserve"> community surveys indicates a worsening trend</w:t>
      </w:r>
      <w:r w:rsidR="0029000B" w:rsidRPr="00B2525C">
        <w:rPr>
          <w:rFonts w:cs="Arial"/>
        </w:rPr>
        <w:t xml:space="preserve"> </w:t>
      </w:r>
      <w:r w:rsidR="00671084" w:rsidRPr="00B2525C">
        <w:rPr>
          <w:rFonts w:cs="Arial"/>
        </w:rPr>
        <w:t xml:space="preserve">for </w:t>
      </w:r>
      <w:r w:rsidR="00B63864" w:rsidRPr="00B2525C">
        <w:rPr>
          <w:rFonts w:cs="Arial"/>
        </w:rPr>
        <w:t>women’s</w:t>
      </w:r>
      <w:r w:rsidR="00671084" w:rsidRPr="00B2525C">
        <w:rPr>
          <w:rFonts w:cs="Arial"/>
        </w:rPr>
        <w:t xml:space="preserve"> and </w:t>
      </w:r>
      <w:r w:rsidR="00B63864" w:rsidRPr="00B2525C">
        <w:rPr>
          <w:rFonts w:cs="Arial"/>
        </w:rPr>
        <w:t xml:space="preserve">men’s </w:t>
      </w:r>
      <w:r w:rsidR="007569C4" w:rsidRPr="00B2525C">
        <w:rPr>
          <w:rFonts w:cs="Arial"/>
        </w:rPr>
        <w:t>self-reported</w:t>
      </w:r>
      <w:r w:rsidR="00671084" w:rsidRPr="00B2525C">
        <w:rPr>
          <w:rFonts w:cs="Arial"/>
        </w:rPr>
        <w:t xml:space="preserve"> health. For example</w:t>
      </w:r>
      <w:r w:rsidR="00B63864" w:rsidRPr="00B2525C">
        <w:rPr>
          <w:rFonts w:cs="Arial"/>
        </w:rPr>
        <w:t>,</w:t>
      </w:r>
      <w:r w:rsidR="0098572F" w:rsidRPr="00B2525C">
        <w:rPr>
          <w:rFonts w:cs="Arial"/>
        </w:rPr>
        <w:t xml:space="preserve"> </w:t>
      </w:r>
      <w:r w:rsidR="00671084" w:rsidRPr="00B2525C">
        <w:rPr>
          <w:rFonts w:cs="Arial"/>
        </w:rPr>
        <w:t>in 2021, 59.2</w:t>
      </w:r>
      <w:r w:rsidR="0098572F" w:rsidRPr="00B2525C">
        <w:rPr>
          <w:rFonts w:cs="Arial"/>
        </w:rPr>
        <w:t xml:space="preserve"> </w:t>
      </w:r>
      <w:r w:rsidR="0017290D" w:rsidRPr="00B2525C">
        <w:rPr>
          <w:rFonts w:cs="Arial"/>
        </w:rPr>
        <w:t>per cent</w:t>
      </w:r>
      <w:r w:rsidR="00671084" w:rsidRPr="00B2525C">
        <w:rPr>
          <w:rFonts w:cs="Arial"/>
        </w:rPr>
        <w:t xml:space="preserve"> of women reported excellent or very good health compared to 70.1</w:t>
      </w:r>
      <w:r w:rsidR="0098572F" w:rsidRPr="00B2525C">
        <w:rPr>
          <w:rFonts w:cs="Arial"/>
        </w:rPr>
        <w:t xml:space="preserve"> </w:t>
      </w:r>
      <w:r w:rsidR="0017290D" w:rsidRPr="00B2525C">
        <w:rPr>
          <w:rFonts w:cs="Arial"/>
        </w:rPr>
        <w:t>per cent</w:t>
      </w:r>
      <w:r w:rsidR="00671084" w:rsidRPr="00B2525C">
        <w:rPr>
          <w:rFonts w:cs="Arial"/>
        </w:rPr>
        <w:t xml:space="preserve"> in 2019</w:t>
      </w:r>
      <w:r w:rsidR="0029000B" w:rsidRPr="00B2525C">
        <w:rPr>
          <w:rFonts w:cs="Arial"/>
        </w:rPr>
        <w:t xml:space="preserve">. </w:t>
      </w:r>
      <w:r w:rsidR="00671084" w:rsidRPr="00B2525C">
        <w:rPr>
          <w:rFonts w:cs="Arial"/>
        </w:rPr>
        <w:t xml:space="preserve">For men it was </w:t>
      </w:r>
      <w:r w:rsidR="00720926" w:rsidRPr="00B2525C">
        <w:rPr>
          <w:rFonts w:cs="Arial"/>
        </w:rPr>
        <w:t>62.2</w:t>
      </w:r>
      <w:r w:rsidR="0098572F" w:rsidRPr="00B2525C">
        <w:rPr>
          <w:rFonts w:cs="Arial"/>
        </w:rPr>
        <w:t xml:space="preserve"> </w:t>
      </w:r>
      <w:r w:rsidR="0017290D" w:rsidRPr="00B2525C">
        <w:rPr>
          <w:rFonts w:cs="Arial"/>
        </w:rPr>
        <w:t>per cent</w:t>
      </w:r>
      <w:r w:rsidR="0098572F" w:rsidRPr="00B2525C">
        <w:rPr>
          <w:rFonts w:cs="Arial"/>
        </w:rPr>
        <w:t xml:space="preserve"> in 202</w:t>
      </w:r>
      <w:r w:rsidRPr="00B2525C">
        <w:rPr>
          <w:rFonts w:cs="Arial"/>
        </w:rPr>
        <w:t>1, compared to 64.1</w:t>
      </w:r>
      <w:r w:rsidR="006A34A3">
        <w:rPr>
          <w:rFonts w:cs="Arial"/>
        </w:rPr>
        <w:t xml:space="preserve"> </w:t>
      </w:r>
      <w:r w:rsidRPr="00B2525C">
        <w:rPr>
          <w:rFonts w:cs="Arial"/>
        </w:rPr>
        <w:t>per cent in 2019.</w:t>
      </w:r>
    </w:p>
    <w:p w14:paraId="47A40384" w14:textId="77777777" w:rsidR="00747847" w:rsidRDefault="00747847" w:rsidP="00671084">
      <w:pPr>
        <w:rPr>
          <w:rFonts w:cs="Arial"/>
        </w:rPr>
      </w:pPr>
    </w:p>
    <w:p w14:paraId="7A27C6F3" w14:textId="659DEF2B" w:rsidR="00747847" w:rsidRPr="00B2525C" w:rsidRDefault="00747847" w:rsidP="00671084">
      <w:pPr>
        <w:rPr>
          <w:rFonts w:cs="Arial"/>
        </w:rPr>
      </w:pPr>
      <w:r w:rsidRPr="00B92E67">
        <w:rPr>
          <w:rFonts w:cs="Arial"/>
          <w:b/>
        </w:rPr>
        <w:t>Figure</w:t>
      </w:r>
      <w:r w:rsidR="00C81826">
        <w:rPr>
          <w:rFonts w:cs="Arial"/>
        </w:rPr>
        <w:t xml:space="preserve"> 55. </w:t>
      </w:r>
      <w:r>
        <w:rPr>
          <w:rFonts w:cs="Arial"/>
        </w:rPr>
        <w:t xml:space="preserve">Self-reported health </w:t>
      </w:r>
    </w:p>
    <w:p w14:paraId="63085CF9" w14:textId="77777777" w:rsidR="00671084" w:rsidRPr="00B2525C" w:rsidRDefault="00671084" w:rsidP="00671084">
      <w:pPr>
        <w:rPr>
          <w:rFonts w:cs="Arial"/>
        </w:rPr>
      </w:pPr>
    </w:p>
    <w:p w14:paraId="52E3B0AC" w14:textId="77777777" w:rsidR="00671084" w:rsidRPr="00B2525C" w:rsidRDefault="00671084" w:rsidP="00671084">
      <w:pPr>
        <w:rPr>
          <w:rFonts w:cs="Arial"/>
        </w:rPr>
      </w:pPr>
      <w:r w:rsidRPr="00B2525C">
        <w:rPr>
          <w:rFonts w:cs="Arial"/>
          <w:noProof/>
        </w:rPr>
        <w:drawing>
          <wp:inline distT="0" distB="0" distL="0" distR="0" wp14:anchorId="15A0AAA9" wp14:editId="4FBFC81F">
            <wp:extent cx="5864772" cy="2279650"/>
            <wp:effectExtent l="0" t="0" r="317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67674" cy="2280778"/>
                    </a:xfrm>
                    <a:prstGeom prst="rect">
                      <a:avLst/>
                    </a:prstGeom>
                  </pic:spPr>
                </pic:pic>
              </a:graphicData>
            </a:graphic>
          </wp:inline>
        </w:drawing>
      </w:r>
    </w:p>
    <w:p w14:paraId="03FD85C3" w14:textId="77777777" w:rsidR="00671084" w:rsidRPr="00B92E67" w:rsidRDefault="00671084" w:rsidP="00671084">
      <w:pPr>
        <w:rPr>
          <w:rFonts w:cs="Arial"/>
          <w:i/>
          <w:sz w:val="20"/>
          <w:szCs w:val="20"/>
        </w:rPr>
      </w:pPr>
      <w:r w:rsidRPr="00B92E67">
        <w:rPr>
          <w:rFonts w:cs="Arial"/>
          <w:i/>
          <w:sz w:val="20"/>
          <w:szCs w:val="20"/>
        </w:rPr>
        <w:t xml:space="preserve">Source: </w:t>
      </w:r>
      <w:r w:rsidR="00E37EA5" w:rsidRPr="00B92E67">
        <w:rPr>
          <w:rFonts w:cs="Arial"/>
          <w:i/>
          <w:sz w:val="20"/>
          <w:szCs w:val="20"/>
        </w:rPr>
        <w:t>Moonee Valley City Council</w:t>
      </w:r>
      <w:r w:rsidRPr="00B92E67">
        <w:rPr>
          <w:rFonts w:cs="Arial"/>
          <w:i/>
          <w:sz w:val="20"/>
          <w:szCs w:val="20"/>
        </w:rPr>
        <w:t xml:space="preserve"> Community </w:t>
      </w:r>
      <w:r w:rsidR="008336C6" w:rsidRPr="00B92E67">
        <w:rPr>
          <w:rFonts w:cs="Arial"/>
          <w:i/>
          <w:sz w:val="20"/>
          <w:szCs w:val="20"/>
        </w:rPr>
        <w:t xml:space="preserve">Surveys </w:t>
      </w:r>
      <w:r w:rsidRPr="00B92E67">
        <w:rPr>
          <w:rFonts w:cs="Arial"/>
          <w:i/>
          <w:sz w:val="20"/>
          <w:szCs w:val="20"/>
        </w:rPr>
        <w:t>2019,2020,2021</w:t>
      </w:r>
    </w:p>
    <w:p w14:paraId="3001440F" w14:textId="77777777" w:rsidR="004A5AFF" w:rsidRPr="00B2525C" w:rsidRDefault="004A5AFF" w:rsidP="00671084">
      <w:pPr>
        <w:rPr>
          <w:rFonts w:cs="Arial"/>
        </w:rPr>
      </w:pPr>
    </w:p>
    <w:p w14:paraId="3B9CD275" w14:textId="77777777" w:rsidR="00180A7B" w:rsidRDefault="00180A7B" w:rsidP="00671084">
      <w:pPr>
        <w:rPr>
          <w:rFonts w:cs="Arial"/>
        </w:rPr>
      </w:pPr>
    </w:p>
    <w:p w14:paraId="0A42B8A3" w14:textId="77777777" w:rsidR="00180A7B" w:rsidRDefault="00180A7B" w:rsidP="00671084">
      <w:pPr>
        <w:rPr>
          <w:rFonts w:cs="Arial"/>
        </w:rPr>
      </w:pPr>
    </w:p>
    <w:p w14:paraId="3E51B3AA" w14:textId="77777777" w:rsidR="0067409A" w:rsidRDefault="0067409A" w:rsidP="00671084">
      <w:pPr>
        <w:rPr>
          <w:rFonts w:cs="Arial"/>
        </w:rPr>
      </w:pPr>
      <w:r>
        <w:rPr>
          <w:rFonts w:cs="Arial"/>
        </w:rPr>
        <w:br w:type="page"/>
      </w:r>
    </w:p>
    <w:p w14:paraId="3CB1E86F" w14:textId="248306EA" w:rsidR="004A5AFF" w:rsidRDefault="004A5AFF" w:rsidP="00671084">
      <w:pPr>
        <w:rPr>
          <w:rFonts w:cs="Arial"/>
        </w:rPr>
      </w:pPr>
      <w:r w:rsidRPr="00B2525C">
        <w:rPr>
          <w:rFonts w:cs="Arial"/>
        </w:rPr>
        <w:lastRenderedPageBreak/>
        <w:t>Survey results from the Moonee Valley Community Survey show that in 2021, adults from Airport West</w:t>
      </w:r>
      <w:r w:rsidR="0047476D">
        <w:rPr>
          <w:rFonts w:cs="Arial"/>
        </w:rPr>
        <w:t xml:space="preserve"> </w:t>
      </w:r>
      <w:r w:rsidRPr="00B2525C">
        <w:rPr>
          <w:rFonts w:cs="Arial"/>
        </w:rPr>
        <w:t xml:space="preserve">had the lowest levels of reporting </w:t>
      </w:r>
      <w:r w:rsidR="006A34A3">
        <w:rPr>
          <w:rFonts w:cs="Arial"/>
        </w:rPr>
        <w:t>‘</w:t>
      </w:r>
      <w:r w:rsidRPr="00B2525C">
        <w:rPr>
          <w:rFonts w:cs="Arial"/>
        </w:rPr>
        <w:t>very good</w:t>
      </w:r>
      <w:r w:rsidR="006A34A3">
        <w:rPr>
          <w:rFonts w:cs="Arial"/>
        </w:rPr>
        <w:t>’</w:t>
      </w:r>
      <w:r w:rsidRPr="00B2525C">
        <w:rPr>
          <w:rFonts w:cs="Arial"/>
        </w:rPr>
        <w:t xml:space="preserve"> or </w:t>
      </w:r>
      <w:r w:rsidR="006A34A3">
        <w:rPr>
          <w:rFonts w:cs="Arial"/>
        </w:rPr>
        <w:t>‘</w:t>
      </w:r>
      <w:r w:rsidRPr="00B2525C">
        <w:rPr>
          <w:rFonts w:cs="Arial"/>
        </w:rPr>
        <w:t>excellent</w:t>
      </w:r>
      <w:r w:rsidR="006A34A3">
        <w:rPr>
          <w:rFonts w:cs="Arial"/>
        </w:rPr>
        <w:t>’</w:t>
      </w:r>
      <w:r w:rsidRPr="00B2525C">
        <w:rPr>
          <w:rFonts w:cs="Arial"/>
        </w:rPr>
        <w:t xml:space="preserve"> health (47.6</w:t>
      </w:r>
      <w:r w:rsidR="007569C4" w:rsidRPr="00B2525C">
        <w:rPr>
          <w:rFonts w:cs="Arial"/>
        </w:rPr>
        <w:t xml:space="preserve"> </w:t>
      </w:r>
      <w:r w:rsidR="0017290D" w:rsidRPr="00B2525C">
        <w:rPr>
          <w:rFonts w:cs="Arial"/>
        </w:rPr>
        <w:t>per cent</w:t>
      </w:r>
      <w:r w:rsidR="007569C4" w:rsidRPr="00B2525C">
        <w:rPr>
          <w:rFonts w:cs="Arial"/>
        </w:rPr>
        <w:t>)</w:t>
      </w:r>
      <w:r w:rsidRPr="00B2525C">
        <w:rPr>
          <w:rFonts w:cs="Arial"/>
        </w:rPr>
        <w:t xml:space="preserve">, whereas adults from Strathmore Heights had the </w:t>
      </w:r>
      <w:r w:rsidR="00B63864" w:rsidRPr="00B2525C">
        <w:rPr>
          <w:rFonts w:cs="Arial"/>
        </w:rPr>
        <w:t>highest</w:t>
      </w:r>
      <w:r w:rsidRPr="00B2525C">
        <w:rPr>
          <w:rFonts w:cs="Arial"/>
        </w:rPr>
        <w:t xml:space="preserve"> levels of reporting </w:t>
      </w:r>
      <w:r w:rsidR="006A34A3">
        <w:rPr>
          <w:rFonts w:cs="Arial"/>
        </w:rPr>
        <w:t>‘</w:t>
      </w:r>
      <w:r w:rsidRPr="00B2525C">
        <w:rPr>
          <w:rFonts w:cs="Arial"/>
        </w:rPr>
        <w:t>very good</w:t>
      </w:r>
      <w:r w:rsidR="006A34A3">
        <w:rPr>
          <w:rFonts w:cs="Arial"/>
        </w:rPr>
        <w:t>’</w:t>
      </w:r>
      <w:r w:rsidRPr="00B2525C">
        <w:rPr>
          <w:rFonts w:cs="Arial"/>
        </w:rPr>
        <w:t xml:space="preserve"> or </w:t>
      </w:r>
      <w:r w:rsidR="006A34A3">
        <w:rPr>
          <w:rFonts w:cs="Arial"/>
        </w:rPr>
        <w:t>‘</w:t>
      </w:r>
      <w:r w:rsidRPr="00B2525C">
        <w:rPr>
          <w:rFonts w:cs="Arial"/>
        </w:rPr>
        <w:t>excellent</w:t>
      </w:r>
      <w:r w:rsidR="006A34A3">
        <w:rPr>
          <w:rFonts w:cs="Arial"/>
        </w:rPr>
        <w:t>’</w:t>
      </w:r>
      <w:r w:rsidRPr="00B2525C">
        <w:rPr>
          <w:rFonts w:cs="Arial"/>
        </w:rPr>
        <w:t xml:space="preserve"> health (68.4</w:t>
      </w:r>
      <w:r w:rsidR="007569C4" w:rsidRPr="00B2525C">
        <w:rPr>
          <w:rFonts w:cs="Arial"/>
        </w:rPr>
        <w:t xml:space="preserve"> </w:t>
      </w:r>
      <w:r w:rsidR="0017290D" w:rsidRPr="00B2525C">
        <w:rPr>
          <w:rFonts w:cs="Arial"/>
        </w:rPr>
        <w:t>per cent</w:t>
      </w:r>
      <w:r w:rsidRPr="00B2525C">
        <w:rPr>
          <w:rFonts w:cs="Arial"/>
        </w:rPr>
        <w:t>)</w:t>
      </w:r>
      <w:r w:rsidR="007569C4" w:rsidRPr="00B2525C">
        <w:rPr>
          <w:rFonts w:cs="Arial"/>
        </w:rPr>
        <w:t>.</w:t>
      </w:r>
    </w:p>
    <w:p w14:paraId="102EAC0A" w14:textId="77777777" w:rsidR="00B92E67" w:rsidRDefault="00B92E67" w:rsidP="00747847">
      <w:pPr>
        <w:rPr>
          <w:rFonts w:cs="Arial"/>
        </w:rPr>
      </w:pPr>
    </w:p>
    <w:p w14:paraId="698ABA92" w14:textId="70358ABB" w:rsidR="004A5AFF" w:rsidRPr="00B2525C" w:rsidRDefault="00747847" w:rsidP="00671084">
      <w:pPr>
        <w:rPr>
          <w:rFonts w:cs="Arial"/>
        </w:rPr>
      </w:pPr>
      <w:r w:rsidRPr="00747847">
        <w:rPr>
          <w:rFonts w:cs="Arial"/>
          <w:b/>
        </w:rPr>
        <w:t>Figure</w:t>
      </w:r>
      <w:r w:rsidR="00C81826">
        <w:rPr>
          <w:rFonts w:cs="Arial"/>
        </w:rPr>
        <w:t xml:space="preserve"> 56. </w:t>
      </w:r>
      <w:r w:rsidRPr="00747847">
        <w:rPr>
          <w:rFonts w:cs="Arial"/>
        </w:rPr>
        <w:t>Self-reported health of residents - 'Very good' or 'Excellent'</w:t>
      </w:r>
    </w:p>
    <w:p w14:paraId="0A24630F" w14:textId="77777777" w:rsidR="00671084" w:rsidRPr="00B2525C" w:rsidRDefault="004A5AFF" w:rsidP="00671084">
      <w:pPr>
        <w:rPr>
          <w:rFonts w:cs="Arial"/>
        </w:rPr>
      </w:pPr>
      <w:r w:rsidRPr="00B2525C">
        <w:rPr>
          <w:rFonts w:cs="Arial"/>
          <w:noProof/>
        </w:rPr>
        <w:drawing>
          <wp:inline distT="0" distB="0" distL="0" distR="0" wp14:anchorId="0B6D25FB" wp14:editId="7556C40E">
            <wp:extent cx="5943600" cy="3552825"/>
            <wp:effectExtent l="0" t="0" r="0" b="9525"/>
            <wp:docPr id="26" name="Chart 26">
              <a:extLst xmlns:a="http://schemas.openxmlformats.org/drawingml/2006/main">
                <a:ext uri="{FF2B5EF4-FFF2-40B4-BE49-F238E27FC236}">
                  <a16:creationId xmlns:a16="http://schemas.microsoft.com/office/drawing/2014/main" id="{F5F683ED-B8FE-4DD5-9A3B-126652E9A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0F8FF22" w14:textId="77777777" w:rsidR="004A5AFF" w:rsidRDefault="004A5AFF" w:rsidP="004A5AFF">
      <w:pPr>
        <w:rPr>
          <w:rFonts w:cs="Arial"/>
          <w:i/>
          <w:sz w:val="20"/>
          <w:szCs w:val="20"/>
        </w:rPr>
      </w:pPr>
      <w:r w:rsidRPr="00B92E67">
        <w:rPr>
          <w:rFonts w:cs="Arial"/>
          <w:i/>
          <w:sz w:val="20"/>
          <w:szCs w:val="20"/>
        </w:rPr>
        <w:t xml:space="preserve">Source: </w:t>
      </w:r>
      <w:r w:rsidR="00E37EA5" w:rsidRPr="00B92E67">
        <w:rPr>
          <w:rFonts w:cs="Arial"/>
          <w:i/>
          <w:sz w:val="20"/>
          <w:szCs w:val="20"/>
        </w:rPr>
        <w:t>Moonee Valley City Council</w:t>
      </w:r>
      <w:r w:rsidRPr="00B92E67">
        <w:rPr>
          <w:rFonts w:cs="Arial"/>
          <w:i/>
          <w:sz w:val="20"/>
          <w:szCs w:val="20"/>
        </w:rPr>
        <w:t xml:space="preserve"> Community </w:t>
      </w:r>
      <w:r w:rsidR="008336C6" w:rsidRPr="00B92E67">
        <w:rPr>
          <w:rFonts w:cs="Arial"/>
          <w:i/>
          <w:sz w:val="20"/>
          <w:szCs w:val="20"/>
        </w:rPr>
        <w:t>Surveys</w:t>
      </w:r>
      <w:r w:rsidRPr="00B92E67">
        <w:rPr>
          <w:rFonts w:cs="Arial"/>
          <w:i/>
          <w:sz w:val="20"/>
          <w:szCs w:val="20"/>
        </w:rPr>
        <w:t xml:space="preserve"> 2019,2020,2021</w:t>
      </w:r>
    </w:p>
    <w:p w14:paraId="5B60762B" w14:textId="77777777" w:rsidR="00180A7B" w:rsidRPr="00B92E67" w:rsidRDefault="00180A7B" w:rsidP="004A5AFF">
      <w:pPr>
        <w:rPr>
          <w:rFonts w:cs="Arial"/>
          <w:i/>
          <w:sz w:val="20"/>
          <w:szCs w:val="20"/>
        </w:rPr>
      </w:pPr>
    </w:p>
    <w:p w14:paraId="57B32E83" w14:textId="77777777" w:rsidR="0067409A" w:rsidRDefault="0067409A" w:rsidP="00180A7B">
      <w:pPr>
        <w:pStyle w:val="Heading2"/>
      </w:pPr>
      <w:r>
        <w:br w:type="page"/>
      </w:r>
    </w:p>
    <w:p w14:paraId="1EA24004" w14:textId="3C4F42D6" w:rsidR="00EC4E90" w:rsidRDefault="00B01D14" w:rsidP="00180A7B">
      <w:pPr>
        <w:pStyle w:val="Heading2"/>
      </w:pPr>
      <w:r w:rsidRPr="00B2525C">
        <w:lastRenderedPageBreak/>
        <w:t xml:space="preserve">Chronic disease </w:t>
      </w:r>
      <w:bookmarkEnd w:id="55"/>
    </w:p>
    <w:p w14:paraId="517E9E9C" w14:textId="77777777" w:rsidR="00180A7B" w:rsidRPr="00180A7B" w:rsidRDefault="00180A7B" w:rsidP="00180A7B"/>
    <w:p w14:paraId="0197B99E" w14:textId="77777777" w:rsidR="00180A7B" w:rsidRDefault="003A5328" w:rsidP="000E3407">
      <w:pPr>
        <w:rPr>
          <w:rFonts w:cs="Arial"/>
        </w:rPr>
      </w:pPr>
      <w:r w:rsidRPr="00B2525C">
        <w:rPr>
          <w:rFonts w:cs="Arial"/>
        </w:rPr>
        <w:t xml:space="preserve">Chronic diseases are long lasting medical and health conditions that are not infectious or transmittable between people. The consequences of </w:t>
      </w:r>
      <w:r w:rsidR="00055C9B" w:rsidRPr="00B2525C">
        <w:rPr>
          <w:rFonts w:cs="Arial"/>
        </w:rPr>
        <w:t>chronic</w:t>
      </w:r>
      <w:r w:rsidRPr="00B2525C">
        <w:rPr>
          <w:rFonts w:cs="Arial"/>
        </w:rPr>
        <w:t xml:space="preserve"> disease can impact on peoples’ quality of life. Chronic conditions are becoming increasingly common especially in developed countries like Australia. </w:t>
      </w:r>
      <w:r w:rsidR="00055C9B" w:rsidRPr="00B2525C">
        <w:rPr>
          <w:rFonts w:cs="Arial"/>
        </w:rPr>
        <w:t>I</w:t>
      </w:r>
      <w:r w:rsidRPr="00B2525C">
        <w:rPr>
          <w:rFonts w:cs="Arial"/>
        </w:rPr>
        <w:t xml:space="preserve">n many instances, action can be taken to prevent their occurrence. Common </w:t>
      </w:r>
      <w:r w:rsidR="00055C9B" w:rsidRPr="00B2525C">
        <w:rPr>
          <w:rFonts w:cs="Arial"/>
        </w:rPr>
        <w:t xml:space="preserve">chronic disease </w:t>
      </w:r>
      <w:r w:rsidRPr="00B2525C">
        <w:rPr>
          <w:rFonts w:cs="Arial"/>
        </w:rPr>
        <w:t xml:space="preserve">conditions include anxiety and depression, asthma, </w:t>
      </w:r>
      <w:r w:rsidR="00055C9B" w:rsidRPr="00B2525C">
        <w:rPr>
          <w:rFonts w:cs="Arial"/>
        </w:rPr>
        <w:t>arthritis</w:t>
      </w:r>
      <w:r w:rsidR="005619F4" w:rsidRPr="00B2525C">
        <w:rPr>
          <w:rFonts w:cs="Arial"/>
        </w:rPr>
        <w:t xml:space="preserve">, cancer, heart disease, </w:t>
      </w:r>
      <w:r w:rsidR="00055C9B" w:rsidRPr="00B2525C">
        <w:rPr>
          <w:rFonts w:cs="Arial"/>
        </w:rPr>
        <w:t>osteoporosis</w:t>
      </w:r>
      <w:r w:rsidR="005619F4" w:rsidRPr="00B2525C">
        <w:rPr>
          <w:rFonts w:cs="Arial"/>
        </w:rPr>
        <w:t xml:space="preserve">, type 2 </w:t>
      </w:r>
      <w:r w:rsidRPr="00B2525C">
        <w:rPr>
          <w:rFonts w:cs="Arial"/>
        </w:rPr>
        <w:t xml:space="preserve">diabetes, </w:t>
      </w:r>
      <w:r w:rsidR="005619F4" w:rsidRPr="00B2525C">
        <w:rPr>
          <w:rFonts w:cs="Arial"/>
        </w:rPr>
        <w:t xml:space="preserve">and stroke. </w:t>
      </w:r>
      <w:r w:rsidR="007569C4" w:rsidRPr="00B2525C">
        <w:rPr>
          <w:rFonts w:cs="Arial"/>
        </w:rPr>
        <w:t xml:space="preserve"> </w:t>
      </w:r>
      <w:r w:rsidRPr="00B2525C">
        <w:rPr>
          <w:rFonts w:cs="Arial"/>
        </w:rPr>
        <w:t>Many people with chronic conditions do not have a single, predominant condition, but rather they experience multimorbidity—the presence of 2 or more chronic conditions at the same time</w:t>
      </w:r>
      <w:r w:rsidR="007569C4" w:rsidRPr="00B2525C">
        <w:rPr>
          <w:rFonts w:cs="Arial"/>
        </w:rPr>
        <w:t xml:space="preserve"> </w:t>
      </w:r>
      <w:r w:rsidRPr="00B2525C">
        <w:rPr>
          <w:rFonts w:cs="Arial"/>
        </w:rPr>
        <w:t>(</w:t>
      </w:r>
      <w:r w:rsidR="007569C4" w:rsidRPr="00B2525C">
        <w:rPr>
          <w:rFonts w:cs="Arial"/>
        </w:rPr>
        <w:t xml:space="preserve">Australian Institute of Health and Welfare, 2021).  </w:t>
      </w:r>
    </w:p>
    <w:p w14:paraId="34B887F0" w14:textId="77777777" w:rsidR="00180A7B" w:rsidRDefault="00180A7B" w:rsidP="000E3407">
      <w:pPr>
        <w:rPr>
          <w:rFonts w:cs="Arial"/>
        </w:rPr>
      </w:pPr>
    </w:p>
    <w:p w14:paraId="2643DC1B" w14:textId="77777777" w:rsidR="005619F4" w:rsidRPr="00B2525C" w:rsidRDefault="005619F4" w:rsidP="000E3407">
      <w:pPr>
        <w:rPr>
          <w:rFonts w:cs="Arial"/>
        </w:rPr>
      </w:pPr>
      <w:r w:rsidRPr="00B2525C">
        <w:rPr>
          <w:rFonts w:cs="Arial"/>
        </w:rPr>
        <w:t xml:space="preserve">In </w:t>
      </w:r>
      <w:r w:rsidR="00E37EA5" w:rsidRPr="00B2525C">
        <w:rPr>
          <w:rFonts w:cs="Arial"/>
        </w:rPr>
        <w:t>Moonee Valley City Council</w:t>
      </w:r>
      <w:r w:rsidRPr="00B2525C">
        <w:rPr>
          <w:rFonts w:cs="Arial"/>
        </w:rPr>
        <w:t xml:space="preserve"> in 20</w:t>
      </w:r>
      <w:r w:rsidR="007569C4" w:rsidRPr="00B2525C">
        <w:rPr>
          <w:rFonts w:cs="Arial"/>
        </w:rPr>
        <w:t>17</w:t>
      </w:r>
      <w:r w:rsidRPr="00B2525C">
        <w:rPr>
          <w:rFonts w:cs="Arial"/>
        </w:rPr>
        <w:t xml:space="preserve">, </w:t>
      </w:r>
      <w:r w:rsidR="00055C9B" w:rsidRPr="00B2525C">
        <w:rPr>
          <w:rFonts w:cs="Arial"/>
        </w:rPr>
        <w:t>t</w:t>
      </w:r>
      <w:r w:rsidRPr="00B2525C">
        <w:rPr>
          <w:rFonts w:cs="Arial"/>
        </w:rPr>
        <w:t xml:space="preserve">he most common </w:t>
      </w:r>
      <w:r w:rsidR="00055C9B" w:rsidRPr="00B2525C">
        <w:rPr>
          <w:rFonts w:cs="Arial"/>
        </w:rPr>
        <w:t xml:space="preserve">chronic disease </w:t>
      </w:r>
      <w:r w:rsidR="00B7223A" w:rsidRPr="00B2525C">
        <w:rPr>
          <w:rFonts w:cs="Arial"/>
        </w:rPr>
        <w:t xml:space="preserve">among adults </w:t>
      </w:r>
      <w:r w:rsidR="00055C9B" w:rsidRPr="00B2525C">
        <w:rPr>
          <w:rFonts w:cs="Arial"/>
        </w:rPr>
        <w:t>was</w:t>
      </w:r>
      <w:r w:rsidRPr="00B2525C">
        <w:rPr>
          <w:rFonts w:cs="Arial"/>
        </w:rPr>
        <w:t xml:space="preserve"> anxiety or depression</w:t>
      </w:r>
      <w:r w:rsidR="00055C9B" w:rsidRPr="00B2525C">
        <w:rPr>
          <w:rFonts w:cs="Arial"/>
        </w:rPr>
        <w:t xml:space="preserve"> (30.4</w:t>
      </w:r>
      <w:r w:rsidR="007569C4" w:rsidRPr="00B2525C">
        <w:rPr>
          <w:rFonts w:cs="Arial"/>
        </w:rPr>
        <w:t xml:space="preserve"> </w:t>
      </w:r>
      <w:r w:rsidR="0017290D" w:rsidRPr="00B2525C">
        <w:rPr>
          <w:rFonts w:cs="Arial"/>
        </w:rPr>
        <w:t>per cent</w:t>
      </w:r>
      <w:r w:rsidR="00055C9B" w:rsidRPr="00B2525C">
        <w:rPr>
          <w:rFonts w:cs="Arial"/>
        </w:rPr>
        <w:t>)</w:t>
      </w:r>
      <w:r w:rsidRPr="00B2525C">
        <w:rPr>
          <w:rFonts w:cs="Arial"/>
        </w:rPr>
        <w:t xml:space="preserve"> </w:t>
      </w:r>
      <w:r w:rsidR="00055C9B" w:rsidRPr="00B2525C">
        <w:rPr>
          <w:rFonts w:cs="Arial"/>
        </w:rPr>
        <w:t xml:space="preserve">which was higher compared to the </w:t>
      </w:r>
      <w:r w:rsidR="002B6129" w:rsidRPr="00B2525C">
        <w:rPr>
          <w:rFonts w:cs="Arial"/>
        </w:rPr>
        <w:t xml:space="preserve">average </w:t>
      </w:r>
      <w:r w:rsidR="00055C9B" w:rsidRPr="00B2525C">
        <w:rPr>
          <w:rFonts w:cs="Arial"/>
        </w:rPr>
        <w:t xml:space="preserve">Victorian </w:t>
      </w:r>
      <w:r w:rsidR="007569C4" w:rsidRPr="00B2525C">
        <w:rPr>
          <w:rFonts w:cs="Arial"/>
        </w:rPr>
        <w:t>proportion</w:t>
      </w:r>
      <w:r w:rsidR="00055C9B" w:rsidRPr="00B2525C">
        <w:rPr>
          <w:rFonts w:cs="Arial"/>
        </w:rPr>
        <w:t xml:space="preserve"> (27.4</w:t>
      </w:r>
      <w:r w:rsidR="007569C4" w:rsidRPr="00B2525C">
        <w:rPr>
          <w:rFonts w:cs="Arial"/>
        </w:rPr>
        <w:t xml:space="preserve"> </w:t>
      </w:r>
      <w:r w:rsidR="0017290D" w:rsidRPr="00B2525C">
        <w:rPr>
          <w:rFonts w:cs="Arial"/>
        </w:rPr>
        <w:t>per cent</w:t>
      </w:r>
      <w:r w:rsidR="00055C9B" w:rsidRPr="00B2525C">
        <w:rPr>
          <w:rFonts w:cs="Arial"/>
        </w:rPr>
        <w:t>)</w:t>
      </w:r>
    </w:p>
    <w:p w14:paraId="145FB597" w14:textId="77777777" w:rsidR="00C6658F" w:rsidRDefault="00C6658F" w:rsidP="000E3407">
      <w:pPr>
        <w:rPr>
          <w:rFonts w:cs="Arial"/>
        </w:rPr>
      </w:pPr>
      <w:bookmarkStart w:id="56" w:name="tests-for-chronic-disease"/>
      <w:r w:rsidRPr="00B2525C">
        <w:rPr>
          <w:rFonts w:cs="Arial"/>
        </w:rPr>
        <w:t xml:space="preserve">Almost a quarter (23 per cent) of residents in Moonee Valley </w:t>
      </w:r>
      <w:r w:rsidR="00B257B2" w:rsidRPr="00B2525C">
        <w:rPr>
          <w:rFonts w:cs="Arial"/>
        </w:rPr>
        <w:t xml:space="preserve">live with </w:t>
      </w:r>
      <w:r w:rsidRPr="00B2525C">
        <w:rPr>
          <w:rFonts w:cs="Arial"/>
        </w:rPr>
        <w:t xml:space="preserve">two or more chronic diseases; this is </w:t>
      </w:r>
      <w:r w:rsidR="00B257B2" w:rsidRPr="00B2525C">
        <w:rPr>
          <w:rFonts w:cs="Arial"/>
        </w:rPr>
        <w:t>slightly l</w:t>
      </w:r>
      <w:r w:rsidRPr="00B2525C">
        <w:rPr>
          <w:rFonts w:cs="Arial"/>
        </w:rPr>
        <w:t>ower than for Victoria (25 per cent</w:t>
      </w:r>
      <w:r w:rsidR="00055C9B" w:rsidRPr="00B2525C">
        <w:rPr>
          <w:rFonts w:cs="Arial"/>
        </w:rPr>
        <w:t>).</w:t>
      </w:r>
      <w:r w:rsidRPr="00B2525C">
        <w:rPr>
          <w:rFonts w:cs="Arial"/>
        </w:rPr>
        <w:t xml:space="preserve"> </w:t>
      </w:r>
    </w:p>
    <w:p w14:paraId="36C61F69" w14:textId="77777777" w:rsidR="00747847" w:rsidRDefault="00747847" w:rsidP="000E3407">
      <w:pPr>
        <w:rPr>
          <w:rFonts w:cs="Arial"/>
        </w:rPr>
      </w:pPr>
    </w:p>
    <w:p w14:paraId="69AFCE27" w14:textId="3D31FA65" w:rsidR="00747847" w:rsidRPr="00B2525C" w:rsidRDefault="00747847" w:rsidP="000E3407">
      <w:pPr>
        <w:rPr>
          <w:rFonts w:cs="Arial"/>
        </w:rPr>
      </w:pPr>
      <w:r w:rsidRPr="00747847">
        <w:rPr>
          <w:rFonts w:cs="Arial"/>
          <w:b/>
        </w:rPr>
        <w:t>Figure</w:t>
      </w:r>
      <w:r w:rsidR="00C81826">
        <w:rPr>
          <w:rFonts w:cs="Arial"/>
          <w:b/>
        </w:rPr>
        <w:t xml:space="preserve"> 57. </w:t>
      </w:r>
      <w:r w:rsidRPr="00747847">
        <w:rPr>
          <w:rFonts w:cs="Arial"/>
          <w:lang w:val="en-US"/>
        </w:rPr>
        <w:t>Doctor diagnosed chronic disease among adults in Moonee Valley</w:t>
      </w:r>
    </w:p>
    <w:p w14:paraId="1884AFF2" w14:textId="77777777" w:rsidR="00C6658F" w:rsidRPr="00B2525C" w:rsidRDefault="00814CB2" w:rsidP="00FB7174">
      <w:pPr>
        <w:pStyle w:val="NoSpacing"/>
        <w:rPr>
          <w:rFonts w:ascii="Arial" w:hAnsi="Arial" w:cs="Arial"/>
        </w:rPr>
      </w:pPr>
      <w:r w:rsidRPr="00B2525C">
        <w:rPr>
          <w:rFonts w:ascii="Arial" w:hAnsi="Arial" w:cs="Arial"/>
          <w:noProof/>
          <w:shd w:val="clear" w:color="auto" w:fill="000000" w:themeFill="text1"/>
        </w:rPr>
        <w:drawing>
          <wp:inline distT="0" distB="0" distL="0" distR="0" wp14:anchorId="1CAC3DEE" wp14:editId="16D09C38">
            <wp:extent cx="6085205" cy="4067503"/>
            <wp:effectExtent l="0" t="0" r="0" b="0"/>
            <wp:docPr id="11" name="Chart 11">
              <a:extLst xmlns:a="http://schemas.openxmlformats.org/drawingml/2006/main">
                <a:ext uri="{FF2B5EF4-FFF2-40B4-BE49-F238E27FC236}">
                  <a16:creationId xmlns:a16="http://schemas.microsoft.com/office/drawing/2014/main" id="{EB694C3A-A9A4-4F23-8692-2E47B0B90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55EA178" w14:textId="77777777" w:rsidR="00FB7174" w:rsidRPr="00B2525C" w:rsidRDefault="00FB7174" w:rsidP="00FB7174">
      <w:pPr>
        <w:pStyle w:val="Caption"/>
        <w:rPr>
          <w:rFonts w:cs="Arial"/>
        </w:rPr>
      </w:pPr>
      <w:r w:rsidRPr="00B2525C">
        <w:rPr>
          <w:rFonts w:cs="Arial"/>
        </w:rPr>
        <w:t>Source: DHHS, Victorian Population Health Survey, 2017</w:t>
      </w:r>
    </w:p>
    <w:p w14:paraId="0A65482C" w14:textId="77777777" w:rsidR="00B92E67" w:rsidRDefault="00B92E67" w:rsidP="00E613F2">
      <w:pPr>
        <w:rPr>
          <w:rFonts w:cs="Arial"/>
        </w:rPr>
      </w:pPr>
      <w:r>
        <w:rPr>
          <w:rFonts w:cs="Arial"/>
        </w:rPr>
        <w:br w:type="page"/>
      </w:r>
    </w:p>
    <w:p w14:paraId="6A8E6FB6" w14:textId="77777777" w:rsidR="00EC4E90" w:rsidRPr="00B2525C" w:rsidRDefault="00172554">
      <w:pPr>
        <w:pStyle w:val="Heading3"/>
        <w:rPr>
          <w:rFonts w:cs="Arial"/>
        </w:rPr>
      </w:pPr>
      <w:r w:rsidRPr="00B2525C">
        <w:rPr>
          <w:rFonts w:cs="Arial"/>
        </w:rPr>
        <w:lastRenderedPageBreak/>
        <w:t xml:space="preserve">Screening and health </w:t>
      </w:r>
      <w:r w:rsidR="00055C9B" w:rsidRPr="00B2525C">
        <w:rPr>
          <w:rFonts w:cs="Arial"/>
        </w:rPr>
        <w:t>t</w:t>
      </w:r>
      <w:r w:rsidR="00B01D14" w:rsidRPr="00B2525C">
        <w:rPr>
          <w:rFonts w:cs="Arial"/>
        </w:rPr>
        <w:t>ests for chronic disease</w:t>
      </w:r>
      <w:bookmarkEnd w:id="56"/>
    </w:p>
    <w:p w14:paraId="1434A3FE" w14:textId="77777777" w:rsidR="00EC4E90" w:rsidRDefault="00055C9B">
      <w:pPr>
        <w:rPr>
          <w:rFonts w:cs="Arial"/>
        </w:rPr>
      </w:pPr>
      <w:r w:rsidRPr="00B2525C">
        <w:rPr>
          <w:rFonts w:cs="Arial"/>
        </w:rPr>
        <w:t>Prevention and treatment of chronic disease can be aided by screening and health tests.</w:t>
      </w:r>
      <w:r w:rsidR="00180A7B">
        <w:rPr>
          <w:rFonts w:cs="Arial"/>
        </w:rPr>
        <w:t xml:space="preserve"> </w:t>
      </w:r>
      <w:r w:rsidR="00B01D14" w:rsidRPr="00B2525C">
        <w:rPr>
          <w:rFonts w:cs="Arial"/>
        </w:rPr>
        <w:t xml:space="preserve">Data from the Victorian Population Health Survey 2017 shows that testing for chronic disease in Moonee Valley </w:t>
      </w:r>
      <w:r w:rsidR="00B7223A" w:rsidRPr="00B2525C">
        <w:rPr>
          <w:rFonts w:cs="Arial"/>
        </w:rPr>
        <w:t xml:space="preserve">adults </w:t>
      </w:r>
      <w:r w:rsidR="00B01D14" w:rsidRPr="00B2525C">
        <w:rPr>
          <w:rFonts w:cs="Arial"/>
        </w:rPr>
        <w:t>is similar to levels in Western Melbourne. Bowel examinations are lower, and faecal blood occult tests are higher than for Western Melbourne,</w:t>
      </w:r>
      <w:r w:rsidR="005619F4" w:rsidRPr="00B2525C">
        <w:rPr>
          <w:rFonts w:cs="Arial"/>
        </w:rPr>
        <w:t xml:space="preserve"> al</w:t>
      </w:r>
      <w:r w:rsidR="00B01D14" w:rsidRPr="00B2525C">
        <w:rPr>
          <w:rFonts w:cs="Arial"/>
        </w:rPr>
        <w:t xml:space="preserve">though </w:t>
      </w:r>
      <w:r w:rsidR="005619F4" w:rsidRPr="00B2525C">
        <w:rPr>
          <w:rFonts w:cs="Arial"/>
        </w:rPr>
        <w:t xml:space="preserve">it should be noted </w:t>
      </w:r>
      <w:r w:rsidR="00B01D14" w:rsidRPr="00B2525C">
        <w:rPr>
          <w:rFonts w:cs="Arial"/>
        </w:rPr>
        <w:t>these differences are not statistically significant</w:t>
      </w:r>
      <w:r w:rsidR="005619F4" w:rsidRPr="00B2525C">
        <w:rPr>
          <w:rFonts w:cs="Arial"/>
        </w:rPr>
        <w:t xml:space="preserve"> (meaning these </w:t>
      </w:r>
      <w:r w:rsidRPr="00B2525C">
        <w:rPr>
          <w:rFonts w:cs="Arial"/>
        </w:rPr>
        <w:t>differences</w:t>
      </w:r>
      <w:r w:rsidR="005619F4" w:rsidRPr="00B2525C">
        <w:rPr>
          <w:rFonts w:cs="Arial"/>
        </w:rPr>
        <w:t xml:space="preserve"> could be explained by chance)</w:t>
      </w:r>
      <w:r w:rsidR="00B01D14" w:rsidRPr="00B2525C">
        <w:rPr>
          <w:rFonts w:cs="Arial"/>
        </w:rPr>
        <w:t>.</w:t>
      </w:r>
    </w:p>
    <w:p w14:paraId="428402D7" w14:textId="77777777" w:rsidR="00747847" w:rsidRDefault="00747847">
      <w:pPr>
        <w:rPr>
          <w:rFonts w:cs="Arial"/>
        </w:rPr>
      </w:pPr>
    </w:p>
    <w:p w14:paraId="5D6DDB74" w14:textId="4E19C1BD" w:rsidR="00747847" w:rsidRPr="00B2525C" w:rsidRDefault="00747847">
      <w:pPr>
        <w:rPr>
          <w:rFonts w:cs="Arial"/>
        </w:rPr>
      </w:pPr>
      <w:r w:rsidRPr="00747847">
        <w:rPr>
          <w:rFonts w:cs="Arial"/>
          <w:b/>
        </w:rPr>
        <w:t>Figure</w:t>
      </w:r>
      <w:r w:rsidR="00C81826">
        <w:rPr>
          <w:rFonts w:cs="Arial"/>
        </w:rPr>
        <w:t xml:space="preserve"> </w:t>
      </w:r>
      <w:r w:rsidR="00C81826" w:rsidRPr="0003084E">
        <w:rPr>
          <w:rFonts w:cs="Arial"/>
          <w:b/>
        </w:rPr>
        <w:t>58</w:t>
      </w:r>
      <w:r w:rsidR="00C81826">
        <w:rPr>
          <w:rFonts w:cs="Arial"/>
        </w:rPr>
        <w:t xml:space="preserve">. </w:t>
      </w:r>
      <w:r w:rsidRPr="00747847">
        <w:rPr>
          <w:rFonts w:cs="Arial"/>
        </w:rPr>
        <w:t>Testing for chronic disease, %</w:t>
      </w:r>
    </w:p>
    <w:p w14:paraId="5A88D9D0" w14:textId="77777777" w:rsidR="00EC4E90" w:rsidRPr="00B2525C" w:rsidRDefault="001A204A" w:rsidP="001A204A">
      <w:pPr>
        <w:pStyle w:val="NoSpacing"/>
        <w:rPr>
          <w:rFonts w:ascii="Arial" w:hAnsi="Arial" w:cs="Arial"/>
        </w:rPr>
      </w:pPr>
      <w:r w:rsidRPr="00B2525C">
        <w:rPr>
          <w:rFonts w:ascii="Arial" w:hAnsi="Arial" w:cs="Arial"/>
          <w:noProof/>
        </w:rPr>
        <w:drawing>
          <wp:inline distT="0" distB="0" distL="0" distR="0" wp14:anchorId="5C05D221" wp14:editId="665B2842">
            <wp:extent cx="6022428" cy="3618230"/>
            <wp:effectExtent l="0" t="0" r="0" b="1270"/>
            <wp:docPr id="13" name="Chart 13">
              <a:extLst xmlns:a="http://schemas.openxmlformats.org/drawingml/2006/main">
                <a:ext uri="{FF2B5EF4-FFF2-40B4-BE49-F238E27FC236}">
                  <a16:creationId xmlns:a16="http://schemas.microsoft.com/office/drawing/2014/main" id="{6E162528-6F76-4F54-81CA-C6F0DAA49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F18F740" w14:textId="77777777" w:rsidR="001A204A" w:rsidRPr="00B2525C" w:rsidRDefault="001A204A" w:rsidP="001A204A">
      <w:pPr>
        <w:pStyle w:val="Caption"/>
        <w:rPr>
          <w:rFonts w:cs="Arial"/>
        </w:rPr>
      </w:pPr>
      <w:r w:rsidRPr="00B2525C">
        <w:rPr>
          <w:rFonts w:cs="Arial"/>
        </w:rPr>
        <w:t>Source: DHHS, Victorian Population Health Survey, 2017</w:t>
      </w:r>
    </w:p>
    <w:p w14:paraId="0BD2214E" w14:textId="537A9064" w:rsidR="0003084E" w:rsidRDefault="0003084E">
      <w:pPr>
        <w:rPr>
          <w:rFonts w:cs="Arial"/>
        </w:rPr>
      </w:pPr>
      <w:r>
        <w:rPr>
          <w:rFonts w:cs="Arial"/>
        </w:rPr>
        <w:br w:type="page"/>
      </w:r>
    </w:p>
    <w:p w14:paraId="175452A7" w14:textId="77777777" w:rsidR="001C5CA1" w:rsidRPr="00B2525C" w:rsidRDefault="005619F4" w:rsidP="0003084E">
      <w:pPr>
        <w:pStyle w:val="Heading3"/>
      </w:pPr>
      <w:r w:rsidRPr="00B2525C">
        <w:lastRenderedPageBreak/>
        <w:t>Obesity</w:t>
      </w:r>
    </w:p>
    <w:p w14:paraId="18F395AE" w14:textId="3A9BA1EB" w:rsidR="00747847" w:rsidRDefault="005619F4" w:rsidP="001C5CA1">
      <w:pPr>
        <w:rPr>
          <w:rFonts w:cs="Arial"/>
        </w:rPr>
      </w:pPr>
      <w:r w:rsidRPr="00B2525C">
        <w:rPr>
          <w:rFonts w:cs="Arial"/>
        </w:rPr>
        <w:t xml:space="preserve">Obesity can contribute to </w:t>
      </w:r>
      <w:r w:rsidR="00055C9B" w:rsidRPr="00B2525C">
        <w:rPr>
          <w:rFonts w:cs="Arial"/>
        </w:rPr>
        <w:t>chronic</w:t>
      </w:r>
      <w:r w:rsidRPr="00B2525C">
        <w:rPr>
          <w:rFonts w:cs="Arial"/>
        </w:rPr>
        <w:t xml:space="preserve"> disease – especially diabetes and heart disease.</w:t>
      </w:r>
      <w:r w:rsidR="007569C4" w:rsidRPr="00B2525C">
        <w:rPr>
          <w:rFonts w:cs="Arial"/>
        </w:rPr>
        <w:t xml:space="preserve"> </w:t>
      </w:r>
      <w:r w:rsidR="001C5CA1" w:rsidRPr="00B2525C">
        <w:rPr>
          <w:rFonts w:cs="Arial"/>
        </w:rPr>
        <w:t>Data from the Victorian Population Health Survey 2017 shows that almost half (48</w:t>
      </w:r>
      <w:r w:rsidR="007569C4" w:rsidRPr="00B2525C">
        <w:rPr>
          <w:rFonts w:cs="Arial"/>
        </w:rPr>
        <w:t xml:space="preserve"> </w:t>
      </w:r>
      <w:r w:rsidR="0017290D" w:rsidRPr="00B2525C">
        <w:rPr>
          <w:rFonts w:cs="Arial"/>
        </w:rPr>
        <w:t>per cent</w:t>
      </w:r>
      <w:r w:rsidR="001C5CA1" w:rsidRPr="00B2525C">
        <w:rPr>
          <w:rFonts w:cs="Arial"/>
        </w:rPr>
        <w:t xml:space="preserve">) of Moonee Valley </w:t>
      </w:r>
      <w:r w:rsidR="00C06203" w:rsidRPr="00B2525C">
        <w:rPr>
          <w:rFonts w:cs="Arial"/>
        </w:rPr>
        <w:t>adults</w:t>
      </w:r>
      <w:r w:rsidR="001C5CA1" w:rsidRPr="00B2525C">
        <w:rPr>
          <w:rFonts w:cs="Arial"/>
        </w:rPr>
        <w:t xml:space="preserve"> are </w:t>
      </w:r>
      <w:r w:rsidR="00952AD7" w:rsidRPr="00B2525C">
        <w:rPr>
          <w:rFonts w:cs="Arial"/>
        </w:rPr>
        <w:t xml:space="preserve">overweight, measured by their </w:t>
      </w:r>
      <w:r w:rsidR="006A34A3">
        <w:rPr>
          <w:rFonts w:cs="Arial"/>
        </w:rPr>
        <w:t>Body Mass Index (</w:t>
      </w:r>
      <w:r w:rsidR="00952AD7" w:rsidRPr="00B2525C">
        <w:rPr>
          <w:rFonts w:cs="Arial"/>
        </w:rPr>
        <w:t>B</w:t>
      </w:r>
      <w:r w:rsidR="00CB6245" w:rsidRPr="00B2525C">
        <w:rPr>
          <w:rFonts w:cs="Arial"/>
        </w:rPr>
        <w:t>MI</w:t>
      </w:r>
      <w:r w:rsidR="006A34A3">
        <w:rPr>
          <w:rFonts w:cs="Arial"/>
        </w:rPr>
        <w:t>)</w:t>
      </w:r>
      <w:r w:rsidR="00952AD7" w:rsidRPr="00B2525C">
        <w:rPr>
          <w:rFonts w:cs="Arial"/>
        </w:rPr>
        <w:t xml:space="preserve">. </w:t>
      </w:r>
      <w:r w:rsidR="001C5CA1" w:rsidRPr="00B2525C">
        <w:rPr>
          <w:rFonts w:cs="Arial"/>
        </w:rPr>
        <w:t>This figure is similar to the proportion in the Western Melbourne Area, and slightly lower than the Victorian average (51</w:t>
      </w:r>
      <w:r w:rsidR="002B6129" w:rsidRPr="00B2525C">
        <w:rPr>
          <w:rFonts w:cs="Arial"/>
        </w:rPr>
        <w:t xml:space="preserve"> </w:t>
      </w:r>
      <w:r w:rsidR="0017290D" w:rsidRPr="00B2525C">
        <w:rPr>
          <w:rFonts w:cs="Arial"/>
        </w:rPr>
        <w:t>per cent</w:t>
      </w:r>
      <w:r w:rsidR="001C5CA1" w:rsidRPr="00B2525C">
        <w:rPr>
          <w:rFonts w:cs="Arial"/>
        </w:rPr>
        <w:t xml:space="preserve">). </w:t>
      </w:r>
    </w:p>
    <w:p w14:paraId="53C1F2DA" w14:textId="464A42C1" w:rsidR="00747847" w:rsidRPr="00B2525C" w:rsidRDefault="00747847" w:rsidP="001C5CA1">
      <w:pPr>
        <w:rPr>
          <w:rFonts w:cs="Arial"/>
        </w:rPr>
      </w:pPr>
      <w:r w:rsidRPr="00747847">
        <w:rPr>
          <w:rFonts w:cs="Arial"/>
          <w:b/>
        </w:rPr>
        <w:t>Figure</w:t>
      </w:r>
      <w:r w:rsidR="00C81826">
        <w:rPr>
          <w:rFonts w:cs="Arial"/>
          <w:b/>
        </w:rPr>
        <w:t xml:space="preserve"> 59. </w:t>
      </w:r>
      <w:r>
        <w:rPr>
          <w:rFonts w:cs="Arial"/>
        </w:rPr>
        <w:t>Pre-obese or obese adults</w:t>
      </w:r>
    </w:p>
    <w:p w14:paraId="528E6957" w14:textId="77777777" w:rsidR="001C5CA1" w:rsidRPr="00B2525C" w:rsidRDefault="001C5CA1" w:rsidP="001C5CA1">
      <w:pPr>
        <w:pStyle w:val="NoSpacing"/>
        <w:rPr>
          <w:rFonts w:ascii="Arial" w:hAnsi="Arial" w:cs="Arial"/>
        </w:rPr>
      </w:pPr>
      <w:r w:rsidRPr="00B2525C">
        <w:rPr>
          <w:rFonts w:ascii="Arial" w:hAnsi="Arial" w:cs="Arial"/>
          <w:noProof/>
        </w:rPr>
        <w:drawing>
          <wp:inline distT="0" distB="0" distL="0" distR="0" wp14:anchorId="522457DF" wp14:editId="574BF56E">
            <wp:extent cx="5803900" cy="2133600"/>
            <wp:effectExtent l="0" t="0" r="6350" b="0"/>
            <wp:docPr id="99" name="Chart 99">
              <a:extLst xmlns:a="http://schemas.openxmlformats.org/drawingml/2006/main">
                <a:ext uri="{FF2B5EF4-FFF2-40B4-BE49-F238E27FC236}">
                  <a16:creationId xmlns:a16="http://schemas.microsoft.com/office/drawing/2014/main" id="{1E0646B1-6467-41BC-BF29-2EFD805CE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C6C07C5" w14:textId="77777777" w:rsidR="001C5CA1" w:rsidRPr="00B2525C" w:rsidRDefault="001C5CA1" w:rsidP="001C5CA1">
      <w:pPr>
        <w:pStyle w:val="Caption"/>
        <w:rPr>
          <w:rFonts w:cs="Arial"/>
        </w:rPr>
      </w:pPr>
      <w:r w:rsidRPr="00B2525C">
        <w:rPr>
          <w:rFonts w:cs="Arial"/>
        </w:rPr>
        <w:t>Source: DHHS, Victorian Population Health Survey, 2017</w:t>
      </w:r>
    </w:p>
    <w:p w14:paraId="1772F041" w14:textId="77777777" w:rsidR="00180A7B" w:rsidRDefault="00180A7B" w:rsidP="001C5CA1">
      <w:pPr>
        <w:rPr>
          <w:rFonts w:cs="Arial"/>
        </w:rPr>
      </w:pPr>
    </w:p>
    <w:p w14:paraId="2F779F5E" w14:textId="5AE01CCC" w:rsidR="001C5CA1" w:rsidRDefault="00B95630" w:rsidP="001C5CA1">
      <w:pPr>
        <w:rPr>
          <w:rFonts w:cs="Arial"/>
        </w:rPr>
      </w:pPr>
      <w:r w:rsidRPr="00B2525C">
        <w:rPr>
          <w:rFonts w:cs="Arial"/>
        </w:rPr>
        <w:t xml:space="preserve">The estimated </w:t>
      </w:r>
      <w:r w:rsidR="007569C4" w:rsidRPr="00B2525C">
        <w:rPr>
          <w:rFonts w:cs="Arial"/>
        </w:rPr>
        <w:t>c</w:t>
      </w:r>
      <w:r w:rsidRPr="00B2525C">
        <w:rPr>
          <w:rFonts w:cs="Arial"/>
        </w:rPr>
        <w:t xml:space="preserve">hildhood obesity rates per 1000 children aged 2-17 in </w:t>
      </w:r>
      <w:r w:rsidR="007569C4" w:rsidRPr="00B2525C">
        <w:rPr>
          <w:rFonts w:cs="Arial"/>
        </w:rPr>
        <w:t>Moonee</w:t>
      </w:r>
      <w:r w:rsidRPr="00B2525C">
        <w:rPr>
          <w:rFonts w:cs="Arial"/>
        </w:rPr>
        <w:t xml:space="preserve"> </w:t>
      </w:r>
      <w:r w:rsidR="007569C4" w:rsidRPr="00B2525C">
        <w:rPr>
          <w:rFonts w:cs="Arial"/>
        </w:rPr>
        <w:t>Valley</w:t>
      </w:r>
      <w:r w:rsidRPr="00B2525C">
        <w:rPr>
          <w:rFonts w:cs="Arial"/>
        </w:rPr>
        <w:t xml:space="preserve"> in</w:t>
      </w:r>
      <w:r w:rsidR="0029000B" w:rsidRPr="00B2525C">
        <w:rPr>
          <w:rFonts w:cs="Arial"/>
        </w:rPr>
        <w:t xml:space="preserve"> </w:t>
      </w:r>
      <w:r w:rsidRPr="00B2525C">
        <w:rPr>
          <w:rFonts w:cs="Arial"/>
        </w:rPr>
        <w:t>2017 was lower</w:t>
      </w:r>
      <w:r w:rsidR="0029000B" w:rsidRPr="00B2525C">
        <w:rPr>
          <w:rFonts w:cs="Arial"/>
        </w:rPr>
        <w:t xml:space="preserve"> </w:t>
      </w:r>
      <w:r w:rsidRPr="00B2525C">
        <w:rPr>
          <w:rFonts w:cs="Arial"/>
        </w:rPr>
        <w:t>(5.7</w:t>
      </w:r>
      <w:r w:rsidR="006A34A3">
        <w:rPr>
          <w:rFonts w:cs="Arial"/>
        </w:rPr>
        <w:t xml:space="preserve"> per cent</w:t>
      </w:r>
      <w:r w:rsidRPr="00B2525C">
        <w:rPr>
          <w:rFonts w:cs="Arial"/>
        </w:rPr>
        <w:t>) compared to Melbourne (7.2</w:t>
      </w:r>
      <w:r w:rsidR="006A34A3">
        <w:rPr>
          <w:rFonts w:cs="Arial"/>
        </w:rPr>
        <w:t xml:space="preserve"> per cent</w:t>
      </w:r>
      <w:r w:rsidRPr="00B2525C">
        <w:rPr>
          <w:rFonts w:cs="Arial"/>
        </w:rPr>
        <w:t>)</w:t>
      </w:r>
      <w:r w:rsidR="0029000B" w:rsidRPr="00B2525C">
        <w:rPr>
          <w:rFonts w:cs="Arial"/>
        </w:rPr>
        <w:t xml:space="preserve"> </w:t>
      </w:r>
      <w:r w:rsidRPr="00B2525C">
        <w:rPr>
          <w:rFonts w:cs="Arial"/>
        </w:rPr>
        <w:t xml:space="preserve">for both males and females. </w:t>
      </w:r>
    </w:p>
    <w:p w14:paraId="1B29A401" w14:textId="77777777" w:rsidR="00747847" w:rsidRDefault="00747847" w:rsidP="001C5CA1">
      <w:pPr>
        <w:rPr>
          <w:rFonts w:cs="Arial"/>
        </w:rPr>
      </w:pPr>
    </w:p>
    <w:p w14:paraId="27857F73" w14:textId="28F13FCD" w:rsidR="00747847" w:rsidRPr="00747847" w:rsidRDefault="00747847" w:rsidP="00747847">
      <w:pPr>
        <w:rPr>
          <w:rFonts w:cs="Arial"/>
        </w:rPr>
      </w:pPr>
      <w:r w:rsidRPr="0003084E">
        <w:rPr>
          <w:rFonts w:cs="Arial"/>
          <w:b/>
        </w:rPr>
        <w:t>Figure</w:t>
      </w:r>
      <w:r w:rsidR="00C81826" w:rsidRPr="0003084E">
        <w:rPr>
          <w:rFonts w:cs="Arial"/>
          <w:b/>
        </w:rPr>
        <w:t xml:space="preserve"> 60</w:t>
      </w:r>
      <w:r w:rsidR="00C81826">
        <w:rPr>
          <w:rFonts w:cs="Arial"/>
        </w:rPr>
        <w:t xml:space="preserve">. </w:t>
      </w:r>
      <w:r w:rsidRPr="00747847">
        <w:rPr>
          <w:rFonts w:cs="Arial"/>
        </w:rPr>
        <w:t xml:space="preserve">Childhood Obesity rate, by sex </w:t>
      </w:r>
    </w:p>
    <w:p w14:paraId="47772463" w14:textId="77777777" w:rsidR="00B95630" w:rsidRPr="00B2525C" w:rsidRDefault="00B95630" w:rsidP="001C5CA1">
      <w:pPr>
        <w:rPr>
          <w:rFonts w:cs="Arial"/>
        </w:rPr>
      </w:pPr>
      <w:r w:rsidRPr="00B2525C">
        <w:rPr>
          <w:rFonts w:cs="Arial"/>
          <w:noProof/>
        </w:rPr>
        <w:drawing>
          <wp:inline distT="0" distB="0" distL="0" distR="0" wp14:anchorId="18135AA0" wp14:editId="3988618D">
            <wp:extent cx="5709037" cy="2400935"/>
            <wp:effectExtent l="0" t="0" r="6350" b="18415"/>
            <wp:docPr id="23" name="Chart 23">
              <a:extLst xmlns:a="http://schemas.openxmlformats.org/drawingml/2006/main">
                <a:ext uri="{FF2B5EF4-FFF2-40B4-BE49-F238E27FC236}">
                  <a16:creationId xmlns:a16="http://schemas.microsoft.com/office/drawing/2014/main" id="{043FBDFE-2BD9-454C-A1CB-42260B481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BBB9FD" w14:textId="77777777" w:rsidR="00B95630" w:rsidRPr="00B2525C" w:rsidRDefault="00B95630" w:rsidP="001C5CA1">
      <w:pPr>
        <w:rPr>
          <w:rFonts w:cs="Arial"/>
        </w:rPr>
      </w:pPr>
      <w:r w:rsidRPr="00B2525C">
        <w:rPr>
          <w:rFonts w:cs="Arial"/>
        </w:rPr>
        <w:t xml:space="preserve">Source: </w:t>
      </w:r>
      <w:r w:rsidR="00B7223A" w:rsidRPr="00B2525C">
        <w:rPr>
          <w:rFonts w:cs="Arial"/>
        </w:rPr>
        <w:t>H</w:t>
      </w:r>
      <w:r w:rsidRPr="00B2525C">
        <w:rPr>
          <w:rFonts w:cs="Arial"/>
        </w:rPr>
        <w:t>ealth tracker atlas</w:t>
      </w:r>
      <w:r w:rsidR="00B7223A" w:rsidRPr="00B2525C">
        <w:rPr>
          <w:rFonts w:cs="Arial"/>
        </w:rPr>
        <w:t xml:space="preserve">, data estimates </w:t>
      </w:r>
      <w:proofErr w:type="gramStart"/>
      <w:r w:rsidR="00B7223A" w:rsidRPr="00B2525C">
        <w:rPr>
          <w:rFonts w:cs="Arial"/>
        </w:rPr>
        <w:t>from  Australia’s</w:t>
      </w:r>
      <w:proofErr w:type="gramEnd"/>
      <w:r w:rsidR="00B7223A" w:rsidRPr="00B2525C">
        <w:rPr>
          <w:rFonts w:cs="Arial"/>
        </w:rPr>
        <w:t xml:space="preserve"> National Health Survey, 2017.</w:t>
      </w:r>
    </w:p>
    <w:p w14:paraId="7CDAF872" w14:textId="77777777" w:rsidR="001C5CA1" w:rsidRPr="00B2525C" w:rsidRDefault="001C5CA1" w:rsidP="001C5CA1">
      <w:pPr>
        <w:rPr>
          <w:rFonts w:cs="Arial"/>
        </w:rPr>
      </w:pPr>
    </w:p>
    <w:p w14:paraId="777A2FF0" w14:textId="77777777" w:rsidR="00B92E67" w:rsidRDefault="00B92E67" w:rsidP="00ED0AE9">
      <w:pPr>
        <w:pStyle w:val="Heading2"/>
        <w:rPr>
          <w:rFonts w:cs="Arial"/>
        </w:rPr>
      </w:pPr>
      <w:bookmarkStart w:id="57" w:name="oral-health"/>
      <w:bookmarkStart w:id="58" w:name="Xa0e2cdfe5f21457d17e33d4edfeac6e8f9a1c5e"/>
      <w:r>
        <w:rPr>
          <w:rFonts w:cs="Arial"/>
        </w:rPr>
        <w:br w:type="page"/>
      </w:r>
    </w:p>
    <w:p w14:paraId="258DF437" w14:textId="77777777" w:rsidR="00ED0AE9" w:rsidRDefault="00172554" w:rsidP="00ED0AE9">
      <w:pPr>
        <w:pStyle w:val="Heading2"/>
        <w:rPr>
          <w:rFonts w:cs="Arial"/>
        </w:rPr>
      </w:pPr>
      <w:r w:rsidRPr="00B2525C">
        <w:rPr>
          <w:rFonts w:cs="Arial"/>
        </w:rPr>
        <w:lastRenderedPageBreak/>
        <w:t xml:space="preserve">Dental </w:t>
      </w:r>
      <w:r w:rsidR="00ED0AE9" w:rsidRPr="00B2525C">
        <w:rPr>
          <w:rFonts w:cs="Arial"/>
        </w:rPr>
        <w:t>health</w:t>
      </w:r>
      <w:bookmarkEnd w:id="57"/>
    </w:p>
    <w:p w14:paraId="51DE965B" w14:textId="77777777" w:rsidR="00180A7B" w:rsidRPr="00180A7B" w:rsidRDefault="00180A7B" w:rsidP="00180A7B"/>
    <w:p w14:paraId="633AF99F" w14:textId="19B895B4" w:rsidR="00ED0AE9" w:rsidRDefault="006A34A3" w:rsidP="00CB6245">
      <w:pPr>
        <w:rPr>
          <w:rFonts w:cs="Arial"/>
        </w:rPr>
      </w:pPr>
      <w:r>
        <w:rPr>
          <w:rFonts w:cs="Arial"/>
        </w:rPr>
        <w:t>I</w:t>
      </w:r>
      <w:r w:rsidR="00A62A5D" w:rsidRPr="00B2525C">
        <w:rPr>
          <w:rFonts w:cs="Arial"/>
        </w:rPr>
        <w:t xml:space="preserve">n 2014, </w:t>
      </w:r>
      <w:r w:rsidR="00312718" w:rsidRPr="00B2525C">
        <w:rPr>
          <w:rFonts w:cs="Arial"/>
        </w:rPr>
        <w:t>p</w:t>
      </w:r>
      <w:r w:rsidR="00ED0AE9" w:rsidRPr="00B2525C">
        <w:rPr>
          <w:rFonts w:cs="Arial"/>
        </w:rPr>
        <w:t xml:space="preserve">oor oral health </w:t>
      </w:r>
      <w:r w:rsidR="00A62A5D" w:rsidRPr="00B2525C">
        <w:rPr>
          <w:rFonts w:cs="Arial"/>
        </w:rPr>
        <w:t>was</w:t>
      </w:r>
      <w:r w:rsidR="00ED0AE9" w:rsidRPr="00B2525C">
        <w:rPr>
          <w:rFonts w:cs="Arial"/>
        </w:rPr>
        <w:t xml:space="preserve"> the </w:t>
      </w:r>
      <w:r w:rsidR="00312718" w:rsidRPr="00B2525C">
        <w:rPr>
          <w:rFonts w:cs="Arial"/>
        </w:rPr>
        <w:t>leading</w:t>
      </w:r>
      <w:r w:rsidR="00ED0AE9" w:rsidRPr="00B2525C">
        <w:rPr>
          <w:rFonts w:cs="Arial"/>
        </w:rPr>
        <w:t xml:space="preserve"> cause of preventable admissions to hospital for </w:t>
      </w:r>
      <w:r w:rsidR="00A62A5D" w:rsidRPr="00B2525C">
        <w:rPr>
          <w:rFonts w:cs="Arial"/>
        </w:rPr>
        <w:t xml:space="preserve">Victorians aged </w:t>
      </w:r>
      <w:r w:rsidR="00ED0AE9" w:rsidRPr="00B2525C">
        <w:rPr>
          <w:rFonts w:cs="Arial"/>
        </w:rPr>
        <w:t xml:space="preserve">under 25 years and the second </w:t>
      </w:r>
      <w:r w:rsidR="00A62A5D" w:rsidRPr="00B2525C">
        <w:rPr>
          <w:rFonts w:cs="Arial"/>
        </w:rPr>
        <w:t>largest</w:t>
      </w:r>
      <w:r w:rsidR="00ED0AE9" w:rsidRPr="00B2525C">
        <w:rPr>
          <w:rFonts w:cs="Arial"/>
        </w:rPr>
        <w:t xml:space="preserve"> for all ages in Victoria</w:t>
      </w:r>
      <w:r w:rsidR="00312718" w:rsidRPr="00B2525C">
        <w:rPr>
          <w:rFonts w:cs="Arial"/>
        </w:rPr>
        <w:t xml:space="preserve">. </w:t>
      </w:r>
      <w:r w:rsidR="00ED0AE9" w:rsidRPr="00B2525C">
        <w:rPr>
          <w:rFonts w:cs="Arial"/>
        </w:rPr>
        <w:t xml:space="preserve">Most oral diseases are </w:t>
      </w:r>
      <w:r>
        <w:rPr>
          <w:rFonts w:cs="Arial"/>
        </w:rPr>
        <w:t>able to be prevented</w:t>
      </w:r>
      <w:r w:rsidR="00ED0AE9" w:rsidRPr="00B2525C">
        <w:rPr>
          <w:rFonts w:cs="Arial"/>
        </w:rPr>
        <w:t>, however improving oral health requires access to healthy diets, fluoride in water and toothpaste, good oral hygiene</w:t>
      </w:r>
      <w:r w:rsidR="00180A7B">
        <w:rPr>
          <w:rFonts w:cs="Arial"/>
        </w:rPr>
        <w:t>,</w:t>
      </w:r>
      <w:r w:rsidR="00ED0AE9" w:rsidRPr="00B2525C">
        <w:rPr>
          <w:rFonts w:cs="Arial"/>
        </w:rPr>
        <w:t xml:space="preserve"> and regular preventive care</w:t>
      </w:r>
      <w:r w:rsidR="00CB6245" w:rsidRPr="00B2525C">
        <w:rPr>
          <w:rFonts w:cs="Arial"/>
        </w:rPr>
        <w:t xml:space="preserve"> through dental check-ups</w:t>
      </w:r>
      <w:r w:rsidR="00312718" w:rsidRPr="00B2525C">
        <w:rPr>
          <w:rFonts w:cs="Arial"/>
        </w:rPr>
        <w:t xml:space="preserve"> (Victorian Government, 2016).</w:t>
      </w:r>
      <w:r w:rsidR="00180A7B">
        <w:rPr>
          <w:rFonts w:cs="Arial"/>
        </w:rPr>
        <w:t xml:space="preserve"> </w:t>
      </w:r>
      <w:r w:rsidR="00ED0AE9" w:rsidRPr="00B2525C">
        <w:rPr>
          <w:rFonts w:cs="Arial"/>
        </w:rPr>
        <w:t xml:space="preserve">Data from the Victorian Population Health Survey shows that Moonee Valley </w:t>
      </w:r>
      <w:r w:rsidR="00CB6245" w:rsidRPr="00B2525C">
        <w:rPr>
          <w:rFonts w:cs="Arial"/>
        </w:rPr>
        <w:t>adults</w:t>
      </w:r>
      <w:r w:rsidR="00ED0AE9" w:rsidRPr="00B2525C">
        <w:rPr>
          <w:rFonts w:cs="Arial"/>
        </w:rPr>
        <w:t xml:space="preserve"> have better self-reported dental health</w:t>
      </w:r>
      <w:r w:rsidR="00CB6245" w:rsidRPr="00B2525C">
        <w:rPr>
          <w:rFonts w:cs="Arial"/>
        </w:rPr>
        <w:t xml:space="preserve"> (43.5</w:t>
      </w:r>
      <w:r w:rsidR="0047476D">
        <w:rPr>
          <w:rFonts w:cs="Arial"/>
        </w:rPr>
        <w:t xml:space="preserve"> </w:t>
      </w:r>
      <w:r w:rsidR="0017290D" w:rsidRPr="00B2525C">
        <w:rPr>
          <w:rFonts w:cs="Arial"/>
        </w:rPr>
        <w:t>per cent</w:t>
      </w:r>
      <w:r w:rsidR="00CB6245" w:rsidRPr="00B2525C">
        <w:rPr>
          <w:rFonts w:cs="Arial"/>
        </w:rPr>
        <w:t>)</w:t>
      </w:r>
      <w:r w:rsidR="00ED0AE9" w:rsidRPr="00B2525C">
        <w:rPr>
          <w:rFonts w:cs="Arial"/>
        </w:rPr>
        <w:t xml:space="preserve"> when compared to the Western Melbourne Area</w:t>
      </w:r>
      <w:r w:rsidR="00CB6245" w:rsidRPr="00B2525C">
        <w:rPr>
          <w:rFonts w:cs="Arial"/>
        </w:rPr>
        <w:t xml:space="preserve"> (38.3</w:t>
      </w:r>
      <w:r w:rsidR="0047476D">
        <w:rPr>
          <w:rFonts w:cs="Arial"/>
        </w:rPr>
        <w:t xml:space="preserve"> </w:t>
      </w:r>
      <w:r w:rsidR="0017290D" w:rsidRPr="00B2525C">
        <w:rPr>
          <w:rFonts w:cs="Arial"/>
        </w:rPr>
        <w:t>per cent</w:t>
      </w:r>
      <w:r w:rsidR="00CB6245" w:rsidRPr="00B2525C">
        <w:rPr>
          <w:rFonts w:cs="Arial"/>
        </w:rPr>
        <w:t>)</w:t>
      </w:r>
      <w:r w:rsidR="00ED0AE9" w:rsidRPr="00B2525C">
        <w:rPr>
          <w:rFonts w:cs="Arial"/>
        </w:rPr>
        <w:t xml:space="preserve"> and Victoria</w:t>
      </w:r>
      <w:r w:rsidR="00CB6245" w:rsidRPr="00B2525C">
        <w:rPr>
          <w:rFonts w:cs="Arial"/>
        </w:rPr>
        <w:t xml:space="preserve"> (37.2</w:t>
      </w:r>
      <w:r w:rsidR="0047476D">
        <w:rPr>
          <w:rFonts w:cs="Arial"/>
        </w:rPr>
        <w:t xml:space="preserve"> </w:t>
      </w:r>
      <w:r w:rsidR="0017290D" w:rsidRPr="00B2525C">
        <w:rPr>
          <w:rFonts w:cs="Arial"/>
        </w:rPr>
        <w:t>per cent</w:t>
      </w:r>
      <w:r w:rsidR="00CB6245" w:rsidRPr="00B2525C">
        <w:rPr>
          <w:rFonts w:cs="Arial"/>
        </w:rPr>
        <w:t>)</w:t>
      </w:r>
      <w:r w:rsidR="00ED0AE9" w:rsidRPr="00B2525C">
        <w:rPr>
          <w:rFonts w:cs="Arial"/>
        </w:rPr>
        <w:t xml:space="preserve">. </w:t>
      </w:r>
      <w:r w:rsidR="007569C4" w:rsidRPr="00B2525C">
        <w:rPr>
          <w:rFonts w:cs="Arial"/>
        </w:rPr>
        <w:t>A</w:t>
      </w:r>
      <w:r w:rsidR="00CB6245" w:rsidRPr="00B2525C">
        <w:rPr>
          <w:rFonts w:cs="Arial"/>
        </w:rPr>
        <w:t xml:space="preserve">pproximately a third of </w:t>
      </w:r>
      <w:r w:rsidR="00ED0AE9" w:rsidRPr="00B2525C">
        <w:rPr>
          <w:rFonts w:cs="Arial"/>
        </w:rPr>
        <w:t xml:space="preserve">Moonee Valley </w:t>
      </w:r>
      <w:r w:rsidR="00CB6245" w:rsidRPr="00B2525C">
        <w:rPr>
          <w:rFonts w:cs="Arial"/>
        </w:rPr>
        <w:t>adults</w:t>
      </w:r>
      <w:r w:rsidR="00ED0AE9" w:rsidRPr="00B2525C">
        <w:rPr>
          <w:rFonts w:cs="Arial"/>
        </w:rPr>
        <w:t xml:space="preserve"> </w:t>
      </w:r>
      <w:r w:rsidR="00CB6245" w:rsidRPr="00B2525C">
        <w:rPr>
          <w:rFonts w:cs="Arial"/>
        </w:rPr>
        <w:t>are</w:t>
      </w:r>
      <w:r w:rsidR="00ED0AE9" w:rsidRPr="00B2525C">
        <w:rPr>
          <w:rFonts w:cs="Arial"/>
        </w:rPr>
        <w:t xml:space="preserve"> likely to delay visiting a dental professional due to of cost</w:t>
      </w:r>
      <w:r w:rsidR="00CB6245" w:rsidRPr="00B2525C">
        <w:rPr>
          <w:rFonts w:cs="Arial"/>
        </w:rPr>
        <w:t xml:space="preserve"> (31.6 </w:t>
      </w:r>
      <w:r w:rsidR="0017290D" w:rsidRPr="00B2525C">
        <w:rPr>
          <w:rFonts w:cs="Arial"/>
        </w:rPr>
        <w:t>per cent</w:t>
      </w:r>
      <w:r w:rsidR="00CB6245" w:rsidRPr="00B2525C">
        <w:rPr>
          <w:rFonts w:cs="Arial"/>
        </w:rPr>
        <w:t xml:space="preserve">), </w:t>
      </w:r>
      <w:r>
        <w:rPr>
          <w:rFonts w:cs="Arial"/>
        </w:rPr>
        <w:t xml:space="preserve">however this </w:t>
      </w:r>
      <w:r w:rsidR="00CB6245" w:rsidRPr="00B2525C">
        <w:rPr>
          <w:rFonts w:cs="Arial"/>
        </w:rPr>
        <w:t xml:space="preserve">is less </w:t>
      </w:r>
      <w:r>
        <w:rPr>
          <w:rFonts w:cs="Arial"/>
        </w:rPr>
        <w:t xml:space="preserve">than </w:t>
      </w:r>
      <w:r w:rsidR="00ED0AE9" w:rsidRPr="00B2525C">
        <w:rPr>
          <w:rFonts w:cs="Arial"/>
        </w:rPr>
        <w:t xml:space="preserve">compared to </w:t>
      </w:r>
      <w:r w:rsidR="00CB6245" w:rsidRPr="00B2525C">
        <w:rPr>
          <w:rFonts w:cs="Arial"/>
        </w:rPr>
        <w:t xml:space="preserve">other </w:t>
      </w:r>
      <w:r w:rsidR="00ED0AE9" w:rsidRPr="00B2525C">
        <w:rPr>
          <w:rFonts w:cs="Arial"/>
        </w:rPr>
        <w:t>Victoria</w:t>
      </w:r>
      <w:r w:rsidR="00CB6245" w:rsidRPr="00B2525C">
        <w:rPr>
          <w:rFonts w:cs="Arial"/>
        </w:rPr>
        <w:t>ns (33.9</w:t>
      </w:r>
      <w:r w:rsidR="0047476D">
        <w:rPr>
          <w:rFonts w:cs="Arial"/>
        </w:rPr>
        <w:t xml:space="preserve"> </w:t>
      </w:r>
      <w:r w:rsidR="0017290D" w:rsidRPr="00B2525C">
        <w:rPr>
          <w:rFonts w:cs="Arial"/>
        </w:rPr>
        <w:t>per cent</w:t>
      </w:r>
      <w:r w:rsidR="00CB6245" w:rsidRPr="00B2525C">
        <w:rPr>
          <w:rFonts w:cs="Arial"/>
        </w:rPr>
        <w:t>)</w:t>
      </w:r>
      <w:r w:rsidR="00ED0AE9" w:rsidRPr="00B2525C">
        <w:rPr>
          <w:rFonts w:cs="Arial"/>
        </w:rPr>
        <w:t>.</w:t>
      </w:r>
    </w:p>
    <w:p w14:paraId="68873D6C" w14:textId="77777777" w:rsidR="00747847" w:rsidRDefault="00747847" w:rsidP="00CB6245">
      <w:pPr>
        <w:rPr>
          <w:rFonts w:cs="Arial"/>
        </w:rPr>
      </w:pPr>
    </w:p>
    <w:p w14:paraId="274C5152" w14:textId="5E75D84C" w:rsidR="00747847" w:rsidRPr="00B2525C" w:rsidRDefault="00747847" w:rsidP="00CB6245">
      <w:pPr>
        <w:rPr>
          <w:rFonts w:cs="Arial"/>
        </w:rPr>
      </w:pPr>
      <w:r w:rsidRPr="00747847">
        <w:rPr>
          <w:rFonts w:cs="Arial"/>
          <w:b/>
        </w:rPr>
        <w:t>Figure</w:t>
      </w:r>
      <w:r w:rsidR="00C81826">
        <w:rPr>
          <w:rFonts w:cs="Arial"/>
        </w:rPr>
        <w:t xml:space="preserve"> 61. </w:t>
      </w:r>
      <w:r w:rsidRPr="00747847">
        <w:rPr>
          <w:rFonts w:cs="Arial"/>
          <w:lang w:val="en-US"/>
        </w:rPr>
        <w:t xml:space="preserve">Dental health indicators for adults </w:t>
      </w:r>
    </w:p>
    <w:p w14:paraId="35D87EA5" w14:textId="77777777" w:rsidR="00ED0AE9" w:rsidRPr="00B2525C" w:rsidRDefault="000A4C22" w:rsidP="001A642E">
      <w:pPr>
        <w:pStyle w:val="NoSpacing"/>
        <w:rPr>
          <w:rFonts w:ascii="Arial" w:hAnsi="Arial" w:cs="Arial"/>
        </w:rPr>
      </w:pPr>
      <w:r w:rsidRPr="00B2525C">
        <w:rPr>
          <w:rFonts w:ascii="Arial" w:hAnsi="Arial" w:cs="Arial"/>
          <w:noProof/>
        </w:rPr>
        <w:drawing>
          <wp:inline distT="0" distB="0" distL="0" distR="0" wp14:anchorId="40132541" wp14:editId="39890FF2">
            <wp:extent cx="5756910" cy="2862469"/>
            <wp:effectExtent l="0" t="0" r="0" b="0"/>
            <wp:docPr id="93" name="Chart 93">
              <a:extLst xmlns:a="http://schemas.openxmlformats.org/drawingml/2006/main">
                <a:ext uri="{FF2B5EF4-FFF2-40B4-BE49-F238E27FC236}">
                  <a16:creationId xmlns:a16="http://schemas.microsoft.com/office/drawing/2014/main" id="{72B89672-4AE1-46A9-BCC0-BCB3C4249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D7F6133" w14:textId="77777777" w:rsidR="00C31806" w:rsidRPr="00B2525C" w:rsidRDefault="00C31806" w:rsidP="001A642E">
      <w:pPr>
        <w:pStyle w:val="Caption"/>
        <w:rPr>
          <w:rFonts w:cs="Arial"/>
        </w:rPr>
      </w:pPr>
      <w:r w:rsidRPr="00B2525C">
        <w:rPr>
          <w:rFonts w:cs="Arial"/>
        </w:rPr>
        <w:t>Source: DHHS, Victorian Population health Survey, 2017</w:t>
      </w:r>
    </w:p>
    <w:p w14:paraId="2AC0B287" w14:textId="77777777" w:rsidR="00CB6245" w:rsidRPr="00B2525C" w:rsidRDefault="00CB6245" w:rsidP="00ED0AE9">
      <w:pPr>
        <w:rPr>
          <w:rFonts w:cs="Arial"/>
        </w:rPr>
      </w:pPr>
    </w:p>
    <w:p w14:paraId="3D8DA615" w14:textId="77777777" w:rsidR="00180A7B" w:rsidRDefault="00180A7B" w:rsidP="00ED0AE9">
      <w:pPr>
        <w:rPr>
          <w:rFonts w:cs="Arial"/>
        </w:rPr>
      </w:pPr>
      <w:r>
        <w:rPr>
          <w:rFonts w:cs="Arial"/>
        </w:rPr>
        <w:br w:type="page"/>
      </w:r>
    </w:p>
    <w:p w14:paraId="7E294094" w14:textId="77777777" w:rsidR="00ED0AE9" w:rsidRDefault="00ED0AE9" w:rsidP="00ED0AE9">
      <w:pPr>
        <w:rPr>
          <w:rFonts w:cs="Arial"/>
        </w:rPr>
      </w:pPr>
      <w:r w:rsidRPr="00B2525C">
        <w:rPr>
          <w:rFonts w:cs="Arial"/>
        </w:rPr>
        <w:lastRenderedPageBreak/>
        <w:t xml:space="preserve">Data from Dental Health Services Victoria shows that children in Moonee Valley </w:t>
      </w:r>
      <w:r w:rsidR="002F6990" w:rsidRPr="00B2525C">
        <w:rPr>
          <w:rFonts w:cs="Arial"/>
        </w:rPr>
        <w:t xml:space="preserve">aged 12 years are more likely to have a decayed tooth when presenting to public health dental services compared to younger ages. Across all age groups, Moonee Valley children </w:t>
      </w:r>
      <w:r w:rsidRPr="00B2525C">
        <w:rPr>
          <w:rFonts w:cs="Arial"/>
        </w:rPr>
        <w:t>are less likely to present at public health dental services with a decayed tooth when compared to Victoria</w:t>
      </w:r>
      <w:r w:rsidR="002F6990" w:rsidRPr="00B2525C">
        <w:rPr>
          <w:rFonts w:cs="Arial"/>
        </w:rPr>
        <w:t>n children</w:t>
      </w:r>
      <w:r w:rsidRPr="00B2525C">
        <w:rPr>
          <w:rFonts w:cs="Arial"/>
        </w:rPr>
        <w:t>.</w:t>
      </w:r>
    </w:p>
    <w:p w14:paraId="0F9F5C83" w14:textId="77777777" w:rsidR="00180A7B" w:rsidRDefault="00180A7B" w:rsidP="00747847">
      <w:pPr>
        <w:rPr>
          <w:rFonts w:cs="Arial"/>
        </w:rPr>
      </w:pPr>
    </w:p>
    <w:p w14:paraId="6FACD30C" w14:textId="5037C7A4" w:rsidR="00747847" w:rsidRPr="00747847" w:rsidRDefault="00747847" w:rsidP="00747847">
      <w:pPr>
        <w:rPr>
          <w:rFonts w:cs="Arial"/>
        </w:rPr>
      </w:pPr>
      <w:r w:rsidRPr="00747847">
        <w:rPr>
          <w:rFonts w:cs="Arial"/>
          <w:b/>
        </w:rPr>
        <w:t>Figure</w:t>
      </w:r>
      <w:r w:rsidR="00C81826">
        <w:rPr>
          <w:rFonts w:cs="Arial"/>
        </w:rPr>
        <w:t xml:space="preserve"> 62. </w:t>
      </w:r>
      <w:r w:rsidRPr="00747847">
        <w:rPr>
          <w:rFonts w:cs="Arial"/>
        </w:rPr>
        <w:t>Children presenting with at least one decayed tooth to public health dental services, 2017</w:t>
      </w:r>
    </w:p>
    <w:p w14:paraId="54295BCF" w14:textId="77777777" w:rsidR="00747847" w:rsidRPr="00B2525C" w:rsidRDefault="00747847" w:rsidP="00ED0AE9">
      <w:pPr>
        <w:rPr>
          <w:rFonts w:cs="Arial"/>
        </w:rPr>
      </w:pPr>
    </w:p>
    <w:p w14:paraId="51B3F621" w14:textId="77777777" w:rsidR="00ED0AE9" w:rsidRPr="00B2525C" w:rsidRDefault="008551FC" w:rsidP="00ED0AE9">
      <w:pPr>
        <w:rPr>
          <w:rFonts w:cs="Arial"/>
        </w:rPr>
      </w:pPr>
      <w:r w:rsidRPr="00B2525C">
        <w:rPr>
          <w:rFonts w:cs="Arial"/>
          <w:noProof/>
        </w:rPr>
        <w:drawing>
          <wp:inline distT="0" distB="0" distL="0" distR="0" wp14:anchorId="5A358EE1" wp14:editId="53B73104">
            <wp:extent cx="6022340" cy="1884459"/>
            <wp:effectExtent l="0" t="0" r="0" b="1905"/>
            <wp:docPr id="64" name="Chart 64">
              <a:extLst xmlns:a="http://schemas.openxmlformats.org/drawingml/2006/main">
                <a:ext uri="{FF2B5EF4-FFF2-40B4-BE49-F238E27FC236}">
                  <a16:creationId xmlns:a16="http://schemas.microsoft.com/office/drawing/2014/main" id="{9FCC8D41-E15F-4A07-ABE0-F3F1EDCA6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FF63955" w14:textId="77777777" w:rsidR="008551FC" w:rsidRDefault="008551FC" w:rsidP="008551FC">
      <w:pPr>
        <w:pStyle w:val="Caption"/>
        <w:rPr>
          <w:rFonts w:cs="Arial"/>
        </w:rPr>
      </w:pPr>
      <w:r w:rsidRPr="00B2525C">
        <w:rPr>
          <w:rFonts w:cs="Arial"/>
        </w:rPr>
        <w:t>Source: Dental Health Services Victoria, 2019</w:t>
      </w:r>
    </w:p>
    <w:p w14:paraId="240280EB" w14:textId="77777777" w:rsidR="00180A7B" w:rsidRPr="00180A7B" w:rsidRDefault="00180A7B" w:rsidP="00180A7B"/>
    <w:p w14:paraId="2F3085CB" w14:textId="77777777" w:rsidR="0003084E" w:rsidRDefault="0003084E" w:rsidP="00172554">
      <w:pPr>
        <w:pStyle w:val="Heading2"/>
        <w:rPr>
          <w:rFonts w:cs="Arial"/>
        </w:rPr>
      </w:pPr>
      <w:r>
        <w:rPr>
          <w:rFonts w:cs="Arial"/>
        </w:rPr>
        <w:br w:type="page"/>
      </w:r>
    </w:p>
    <w:p w14:paraId="3B1D6696" w14:textId="41C7DA27" w:rsidR="00180A7B" w:rsidRPr="00637618" w:rsidRDefault="00172554" w:rsidP="00637618">
      <w:pPr>
        <w:pStyle w:val="Heading2"/>
        <w:rPr>
          <w:rFonts w:cs="Arial"/>
        </w:rPr>
      </w:pPr>
      <w:r w:rsidRPr="00B2525C">
        <w:rPr>
          <w:rFonts w:cs="Arial"/>
        </w:rPr>
        <w:lastRenderedPageBreak/>
        <w:t xml:space="preserve">Mental health </w:t>
      </w:r>
    </w:p>
    <w:p w14:paraId="71F5500C" w14:textId="79AABEEC" w:rsidR="00CA2B45" w:rsidRPr="00B92E67" w:rsidRDefault="00E4221D" w:rsidP="00B92E67">
      <w:pPr>
        <w:rPr>
          <w:rFonts w:cs="Arial"/>
        </w:rPr>
      </w:pPr>
      <w:r w:rsidRPr="00B2525C">
        <w:rPr>
          <w:rFonts w:cs="Arial"/>
        </w:rPr>
        <w:t xml:space="preserve">Mental Health is defined by the World Health Organisation as </w:t>
      </w:r>
      <w:r w:rsidRPr="00B2525C">
        <w:rPr>
          <w:rFonts w:cs="Arial"/>
          <w:i/>
        </w:rPr>
        <w:t>‘</w:t>
      </w:r>
      <w:r w:rsidRPr="00B2525C">
        <w:rPr>
          <w:rFonts w:cs="Arial"/>
          <w:iCs/>
        </w:rPr>
        <w:t xml:space="preserve">a state of well-being in which every individual realises his or her own potential, can cope with the normal stresses of life, can work productively and fruitfully and is able to </w:t>
      </w:r>
      <w:proofErr w:type="gramStart"/>
      <w:r w:rsidRPr="00B2525C">
        <w:rPr>
          <w:rFonts w:cs="Arial"/>
          <w:iCs/>
        </w:rPr>
        <w:t>make a contribution</w:t>
      </w:r>
      <w:proofErr w:type="gramEnd"/>
      <w:r w:rsidRPr="00B2525C">
        <w:rPr>
          <w:rFonts w:cs="Arial"/>
          <w:iCs/>
        </w:rPr>
        <w:t xml:space="preserve"> to her or his community’</w:t>
      </w:r>
      <w:r w:rsidR="006A34A3">
        <w:rPr>
          <w:rFonts w:cs="Arial"/>
          <w:iCs/>
        </w:rPr>
        <w:t xml:space="preserve"> </w:t>
      </w:r>
      <w:r w:rsidR="00512144" w:rsidRPr="00B2525C">
        <w:rPr>
          <w:rFonts w:cs="Arial"/>
          <w:iCs/>
        </w:rPr>
        <w:t>(</w:t>
      </w:r>
      <w:r w:rsidR="002808B8" w:rsidRPr="00B2525C">
        <w:rPr>
          <w:rFonts w:cs="Arial"/>
          <w:iCs/>
        </w:rPr>
        <w:t>WHO, 2018</w:t>
      </w:r>
      <w:r w:rsidR="00512144" w:rsidRPr="00B2525C">
        <w:rPr>
          <w:rFonts w:cs="Arial"/>
          <w:iCs/>
        </w:rPr>
        <w:t>)</w:t>
      </w:r>
      <w:r w:rsidR="0029000B" w:rsidRPr="00B2525C">
        <w:rPr>
          <w:rFonts w:cs="Arial"/>
          <w:i/>
        </w:rPr>
        <w:t xml:space="preserve">. </w:t>
      </w:r>
      <w:r w:rsidR="00512144" w:rsidRPr="00B2525C">
        <w:rPr>
          <w:rFonts w:cs="Arial"/>
        </w:rPr>
        <w:t>T</w:t>
      </w:r>
      <w:r w:rsidRPr="00B2525C">
        <w:rPr>
          <w:rFonts w:cs="Arial"/>
        </w:rPr>
        <w:t xml:space="preserve">he term mental health is </w:t>
      </w:r>
      <w:r w:rsidR="00512144" w:rsidRPr="00B2525C">
        <w:rPr>
          <w:rFonts w:cs="Arial"/>
        </w:rPr>
        <w:t xml:space="preserve">also </w:t>
      </w:r>
      <w:r w:rsidRPr="00B2525C">
        <w:rPr>
          <w:rFonts w:cs="Arial"/>
        </w:rPr>
        <w:t xml:space="preserve">often used to describe mental health conditions such as anxiety, depression, </w:t>
      </w:r>
      <w:r w:rsidR="00312718" w:rsidRPr="00B2525C">
        <w:rPr>
          <w:rFonts w:cs="Arial"/>
        </w:rPr>
        <w:t xml:space="preserve">and </w:t>
      </w:r>
      <w:r w:rsidRPr="00B2525C">
        <w:rPr>
          <w:rFonts w:cs="Arial"/>
        </w:rPr>
        <w:t xml:space="preserve">schizophrenia. </w:t>
      </w:r>
      <w:r w:rsidR="00512144" w:rsidRPr="00B2525C">
        <w:rPr>
          <w:rFonts w:cs="Arial"/>
        </w:rPr>
        <w:t>M</w:t>
      </w:r>
      <w:r w:rsidRPr="00B2525C">
        <w:rPr>
          <w:rFonts w:cs="Arial"/>
        </w:rPr>
        <w:t xml:space="preserve">ental health illnesses can cause significant disruption to productivity, </w:t>
      </w:r>
      <w:r w:rsidR="00512144" w:rsidRPr="00B2525C">
        <w:rPr>
          <w:rFonts w:cs="Arial"/>
        </w:rPr>
        <w:t>and quality of life</w:t>
      </w:r>
      <w:r w:rsidRPr="00B2525C">
        <w:rPr>
          <w:rFonts w:cs="Arial"/>
        </w:rPr>
        <w:t xml:space="preserve">. </w:t>
      </w:r>
      <w:r w:rsidR="00B92E67">
        <w:rPr>
          <w:rFonts w:cs="Arial"/>
        </w:rPr>
        <w:t xml:space="preserve"> </w:t>
      </w:r>
      <w:r w:rsidR="00172554" w:rsidRPr="00B92E67">
        <w:t xml:space="preserve">Data from the Victorian Population Health Survey 2017 shows that approximately eight in ten </w:t>
      </w:r>
      <w:r w:rsidR="002808B8" w:rsidRPr="00B92E67">
        <w:t>Moonee</w:t>
      </w:r>
      <w:r w:rsidR="00DF5CFF" w:rsidRPr="00B92E67">
        <w:t xml:space="preserve"> </w:t>
      </w:r>
      <w:r w:rsidR="002808B8" w:rsidRPr="00B92E67">
        <w:t>V</w:t>
      </w:r>
      <w:r w:rsidR="00DF5CFF" w:rsidRPr="00B92E67">
        <w:t xml:space="preserve">alley adults reported very high or high </w:t>
      </w:r>
      <w:r w:rsidR="00172554" w:rsidRPr="00B92E67">
        <w:t>feeling of life being worthwhile (79 per cent) and life satisfaction (78 per cent)</w:t>
      </w:r>
      <w:r w:rsidR="00412D5A" w:rsidRPr="00B92E67">
        <w:t>.</w:t>
      </w:r>
    </w:p>
    <w:p w14:paraId="721905F8" w14:textId="77777777" w:rsidR="00180A7B" w:rsidRDefault="00180A7B" w:rsidP="003D30E7">
      <w:pPr>
        <w:pStyle w:val="NoSpacing"/>
        <w:spacing w:line="360" w:lineRule="auto"/>
        <w:rPr>
          <w:rFonts w:ascii="Arial" w:hAnsi="Arial" w:cs="Arial"/>
        </w:rPr>
      </w:pPr>
    </w:p>
    <w:p w14:paraId="4506EB09" w14:textId="68B3CF2E" w:rsidR="00CA2B45" w:rsidRPr="00B92E67" w:rsidRDefault="00CA2B45" w:rsidP="003D30E7">
      <w:pPr>
        <w:pStyle w:val="NoSpacing"/>
        <w:spacing w:line="360" w:lineRule="auto"/>
        <w:rPr>
          <w:rFonts w:ascii="Circular Std Book" w:hAnsi="Circular Std Book" w:cs="Circular Std Book"/>
        </w:rPr>
      </w:pPr>
      <w:r w:rsidRPr="00B92E67">
        <w:rPr>
          <w:rFonts w:ascii="Circular Std Book" w:hAnsi="Circular Std Book" w:cs="Circular Std Book"/>
          <w:b/>
        </w:rPr>
        <w:t>Figure</w:t>
      </w:r>
      <w:r w:rsidR="00C81826">
        <w:rPr>
          <w:rFonts w:ascii="Circular Std Book" w:hAnsi="Circular Std Book" w:cs="Circular Std Book"/>
          <w:b/>
        </w:rPr>
        <w:t xml:space="preserve"> 63. </w:t>
      </w:r>
      <w:r w:rsidRPr="00B92E67">
        <w:rPr>
          <w:rFonts w:ascii="Circular Std Book" w:hAnsi="Circular Std Book" w:cs="Circular Std Book"/>
        </w:rPr>
        <w:t xml:space="preserve"> Self-reported mental wellbeing</w:t>
      </w:r>
    </w:p>
    <w:p w14:paraId="3573A07F" w14:textId="77777777" w:rsidR="00172554" w:rsidRPr="00B2525C" w:rsidRDefault="00172554" w:rsidP="003D30E7">
      <w:pPr>
        <w:pStyle w:val="NoSpacing"/>
        <w:spacing w:line="360" w:lineRule="auto"/>
        <w:rPr>
          <w:rFonts w:ascii="Arial" w:hAnsi="Arial" w:cs="Arial"/>
          <w:noProof/>
        </w:rPr>
      </w:pPr>
      <w:r w:rsidRPr="00B2525C">
        <w:rPr>
          <w:rFonts w:ascii="Arial" w:hAnsi="Arial" w:cs="Arial"/>
        </w:rPr>
        <w:t xml:space="preserve"> </w:t>
      </w:r>
      <w:r w:rsidRPr="00B2525C">
        <w:rPr>
          <w:rFonts w:ascii="Arial" w:hAnsi="Arial" w:cs="Arial"/>
          <w:noProof/>
        </w:rPr>
        <w:drawing>
          <wp:inline distT="0" distB="0" distL="0" distR="0" wp14:anchorId="35E05A25" wp14:editId="5652EB88">
            <wp:extent cx="6274052" cy="2100404"/>
            <wp:effectExtent l="0" t="0" r="0" b="0"/>
            <wp:docPr id="101" name="Chart 101">
              <a:extLst xmlns:a="http://schemas.openxmlformats.org/drawingml/2006/main">
                <a:ext uri="{FF2B5EF4-FFF2-40B4-BE49-F238E27FC236}">
                  <a16:creationId xmlns:a16="http://schemas.microsoft.com/office/drawing/2014/main" id="{EE76097C-49D9-44D9-B387-4028E25A9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FE0F504" w14:textId="77777777" w:rsidR="00172554" w:rsidRPr="00B2525C" w:rsidRDefault="00172554" w:rsidP="00172554">
      <w:pPr>
        <w:pStyle w:val="Caption"/>
        <w:rPr>
          <w:rFonts w:cs="Arial"/>
        </w:rPr>
      </w:pPr>
      <w:r w:rsidRPr="00B2525C">
        <w:rPr>
          <w:rFonts w:cs="Arial"/>
        </w:rPr>
        <w:t>Source: DHHS, Victorian Population Health Survey, 2017</w:t>
      </w:r>
    </w:p>
    <w:p w14:paraId="64245BDD" w14:textId="77777777" w:rsidR="00412D5A" w:rsidRPr="00B2525C" w:rsidRDefault="00412D5A" w:rsidP="00172554">
      <w:pPr>
        <w:rPr>
          <w:rFonts w:cs="Arial"/>
        </w:rPr>
      </w:pPr>
    </w:p>
    <w:p w14:paraId="61E51D14" w14:textId="77777777" w:rsidR="00172554" w:rsidRDefault="00172554" w:rsidP="00172554">
      <w:pPr>
        <w:rPr>
          <w:rFonts w:cs="Arial"/>
        </w:rPr>
      </w:pPr>
      <w:r w:rsidRPr="00B2525C">
        <w:rPr>
          <w:rFonts w:cs="Arial"/>
        </w:rPr>
        <w:t xml:space="preserve">The Victorian Population Health Survey 2017 also shows that approximately 30 per cent of Moonee Valley </w:t>
      </w:r>
      <w:r w:rsidR="00DF5CFF" w:rsidRPr="00B2525C">
        <w:rPr>
          <w:rFonts w:cs="Arial"/>
        </w:rPr>
        <w:t>adults</w:t>
      </w:r>
      <w:r w:rsidRPr="00B2525C">
        <w:rPr>
          <w:rFonts w:cs="Arial"/>
        </w:rPr>
        <w:t xml:space="preserve"> had ever been diagnosed with anxiety of depression. This figure is higher than both Western Melbourne (25 per cent) and Victoria (27 per cent).</w:t>
      </w:r>
    </w:p>
    <w:p w14:paraId="22A8D388" w14:textId="77777777" w:rsidR="00637618" w:rsidRDefault="00637618" w:rsidP="00172554">
      <w:pPr>
        <w:rPr>
          <w:rFonts w:cs="Arial"/>
        </w:rPr>
      </w:pPr>
    </w:p>
    <w:p w14:paraId="52EF2AA3" w14:textId="483C736F" w:rsidR="00CA2B45" w:rsidRPr="00B2525C" w:rsidRDefault="00CA2B45" w:rsidP="00172554">
      <w:pPr>
        <w:rPr>
          <w:rFonts w:cs="Arial"/>
        </w:rPr>
      </w:pPr>
      <w:r w:rsidRPr="00CA2B45">
        <w:rPr>
          <w:rFonts w:cs="Arial"/>
          <w:b/>
        </w:rPr>
        <w:t>Figure</w:t>
      </w:r>
      <w:r w:rsidR="00C81826">
        <w:rPr>
          <w:rFonts w:cs="Arial"/>
          <w:b/>
        </w:rPr>
        <w:t xml:space="preserve"> 64. </w:t>
      </w:r>
      <w:r w:rsidRPr="00CA2B45">
        <w:rPr>
          <w:rFonts w:cs="Arial"/>
        </w:rPr>
        <w:t>Proportion of adults ever diagnosed with anxiety or depression</w:t>
      </w:r>
    </w:p>
    <w:p w14:paraId="3C437F04" w14:textId="77777777" w:rsidR="00172554" w:rsidRPr="00B2525C" w:rsidRDefault="00172554" w:rsidP="00172554">
      <w:pPr>
        <w:pStyle w:val="NoSpacing"/>
        <w:rPr>
          <w:rFonts w:ascii="Arial" w:hAnsi="Arial" w:cs="Arial"/>
        </w:rPr>
      </w:pPr>
      <w:r w:rsidRPr="00B2525C">
        <w:rPr>
          <w:rFonts w:ascii="Arial" w:hAnsi="Arial" w:cs="Arial"/>
          <w:noProof/>
        </w:rPr>
        <w:drawing>
          <wp:inline distT="0" distB="0" distL="0" distR="0" wp14:anchorId="3E381B0A" wp14:editId="44108148">
            <wp:extent cx="6195695" cy="1837690"/>
            <wp:effectExtent l="0" t="0" r="0" b="0"/>
            <wp:docPr id="102" name="Chart 102">
              <a:extLst xmlns:a="http://schemas.openxmlformats.org/drawingml/2006/main">
                <a:ext uri="{FF2B5EF4-FFF2-40B4-BE49-F238E27FC236}">
                  <a16:creationId xmlns:a16="http://schemas.microsoft.com/office/drawing/2014/main" id="{77C97D0D-B55E-47A8-8240-7ED3D4959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46C8117" w14:textId="77777777" w:rsidR="00172554" w:rsidRPr="00B2525C" w:rsidRDefault="00172554" w:rsidP="00172554">
      <w:pPr>
        <w:pStyle w:val="Caption"/>
        <w:rPr>
          <w:rFonts w:cs="Arial"/>
        </w:rPr>
      </w:pPr>
      <w:r w:rsidRPr="00B2525C">
        <w:rPr>
          <w:rFonts w:cs="Arial"/>
        </w:rPr>
        <w:t>Source: DHHS, Victorian Population Health Survey, 2017</w:t>
      </w:r>
    </w:p>
    <w:p w14:paraId="10851981" w14:textId="5F16A76B" w:rsidR="00172554" w:rsidRDefault="006A34A3" w:rsidP="00172554">
      <w:pPr>
        <w:rPr>
          <w:rFonts w:cs="Arial"/>
        </w:rPr>
      </w:pPr>
      <w:r>
        <w:rPr>
          <w:rFonts w:cs="Arial"/>
        </w:rPr>
        <w:lastRenderedPageBreak/>
        <w:t>T</w:t>
      </w:r>
      <w:r w:rsidR="00172554" w:rsidRPr="00B2525C">
        <w:rPr>
          <w:rFonts w:cs="Arial"/>
        </w:rPr>
        <w:t xml:space="preserve">he 2017 survey shows that </w:t>
      </w:r>
      <w:r w:rsidR="00412D5A" w:rsidRPr="00B2525C">
        <w:rPr>
          <w:rFonts w:cs="Arial"/>
        </w:rPr>
        <w:t>women</w:t>
      </w:r>
      <w:r w:rsidR="00172554" w:rsidRPr="00B2525C">
        <w:rPr>
          <w:rFonts w:cs="Arial"/>
        </w:rPr>
        <w:t xml:space="preserve"> in Moonee Valley were more likely to </w:t>
      </w:r>
      <w:r w:rsidR="00412D5A" w:rsidRPr="00B2525C">
        <w:rPr>
          <w:rFonts w:cs="Arial"/>
        </w:rPr>
        <w:t xml:space="preserve">have lower scores on feeling life is worthwhile, higher levels of seeking </w:t>
      </w:r>
      <w:r w:rsidR="00172554" w:rsidRPr="00B2525C">
        <w:rPr>
          <w:rFonts w:cs="Arial"/>
        </w:rPr>
        <w:t>professional help for mental health issues, and to have been diagnosed with anxiety or depression</w:t>
      </w:r>
      <w:r w:rsidR="00412D5A" w:rsidRPr="00B2525C">
        <w:rPr>
          <w:rFonts w:cs="Arial"/>
        </w:rPr>
        <w:t>, compared to men</w:t>
      </w:r>
      <w:r w:rsidR="00172554" w:rsidRPr="00B2525C">
        <w:rPr>
          <w:rFonts w:cs="Arial"/>
        </w:rPr>
        <w:t>.</w:t>
      </w:r>
    </w:p>
    <w:p w14:paraId="5D3035EA" w14:textId="77777777" w:rsidR="00CA2B45" w:rsidRPr="00CA2B45" w:rsidRDefault="00CA2B45" w:rsidP="00172554">
      <w:pPr>
        <w:rPr>
          <w:rFonts w:cs="Arial"/>
          <w:b/>
        </w:rPr>
      </w:pPr>
    </w:p>
    <w:p w14:paraId="1D91483A" w14:textId="16284FFB" w:rsidR="00CA2B45" w:rsidRPr="00CA2B45" w:rsidRDefault="00CA2B45" w:rsidP="00CA2B45">
      <w:pPr>
        <w:rPr>
          <w:rFonts w:cs="Arial"/>
        </w:rPr>
      </w:pPr>
      <w:r w:rsidRPr="00CA2B45">
        <w:rPr>
          <w:rFonts w:cs="Arial"/>
          <w:b/>
        </w:rPr>
        <w:t>Figure</w:t>
      </w:r>
      <w:r w:rsidR="00C81826">
        <w:rPr>
          <w:rFonts w:cs="Arial"/>
        </w:rPr>
        <w:t xml:space="preserve"> 65. </w:t>
      </w:r>
      <w:r w:rsidRPr="00CA2B45">
        <w:rPr>
          <w:rFonts w:cs="Arial"/>
          <w:lang w:val="en-US"/>
        </w:rPr>
        <w:t>Mental health indicators by sex, for Moonee Valley adults</w:t>
      </w:r>
    </w:p>
    <w:p w14:paraId="698CAC8A" w14:textId="77777777" w:rsidR="00CA2B45" w:rsidRPr="00B2525C" w:rsidRDefault="00CA2B45" w:rsidP="00172554">
      <w:pPr>
        <w:rPr>
          <w:rFonts w:cs="Arial"/>
        </w:rPr>
      </w:pPr>
    </w:p>
    <w:p w14:paraId="54C4114F" w14:textId="77777777" w:rsidR="00172554" w:rsidRPr="00B2525C" w:rsidRDefault="00172554" w:rsidP="00172554">
      <w:pPr>
        <w:pStyle w:val="NoSpacing"/>
        <w:rPr>
          <w:rFonts w:ascii="Arial" w:hAnsi="Arial" w:cs="Arial"/>
        </w:rPr>
      </w:pPr>
      <w:r w:rsidRPr="00B2525C">
        <w:rPr>
          <w:rFonts w:ascii="Arial" w:hAnsi="Arial" w:cs="Arial"/>
          <w:noProof/>
        </w:rPr>
        <w:drawing>
          <wp:inline distT="0" distB="0" distL="0" distR="0" wp14:anchorId="7BEEF6F8" wp14:editId="19858CF2">
            <wp:extent cx="5723255" cy="2396359"/>
            <wp:effectExtent l="0" t="0" r="0" b="4445"/>
            <wp:docPr id="103" name="Chart 103">
              <a:extLst xmlns:a="http://schemas.openxmlformats.org/drawingml/2006/main">
                <a:ext uri="{FF2B5EF4-FFF2-40B4-BE49-F238E27FC236}">
                  <a16:creationId xmlns:a16="http://schemas.microsoft.com/office/drawing/2014/main" id="{57A31248-C26D-448B-A033-56CE10B80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0D8E21D" w14:textId="77777777" w:rsidR="00172554" w:rsidRPr="00B2525C" w:rsidRDefault="00172554" w:rsidP="00172554">
      <w:pPr>
        <w:pStyle w:val="Caption"/>
        <w:rPr>
          <w:rFonts w:cs="Arial"/>
        </w:rPr>
      </w:pPr>
      <w:r w:rsidRPr="00B2525C">
        <w:rPr>
          <w:rFonts w:cs="Arial"/>
        </w:rPr>
        <w:t>Source: DHHS, Victorian Population Health Survey, 2017</w:t>
      </w:r>
    </w:p>
    <w:p w14:paraId="1B6720EB" w14:textId="77777777" w:rsidR="00172554" w:rsidRPr="00B2525C" w:rsidRDefault="00172554" w:rsidP="000369B0">
      <w:pPr>
        <w:rPr>
          <w:rFonts w:cs="Arial"/>
          <w:highlight w:val="yellow"/>
        </w:rPr>
      </w:pPr>
    </w:p>
    <w:p w14:paraId="5E669B8E" w14:textId="77777777" w:rsidR="00B82801" w:rsidRPr="00B2525C" w:rsidRDefault="00E4221D" w:rsidP="000F7117">
      <w:pPr>
        <w:pStyle w:val="Heading4"/>
        <w:rPr>
          <w:rFonts w:cs="Arial"/>
        </w:rPr>
      </w:pPr>
      <w:r w:rsidRPr="00B2525C">
        <w:rPr>
          <w:rFonts w:cs="Arial"/>
        </w:rPr>
        <w:t>Suicide rates</w:t>
      </w:r>
    </w:p>
    <w:p w14:paraId="216A872B" w14:textId="554E6DDC" w:rsidR="007253F7" w:rsidRPr="00B2525C" w:rsidRDefault="003E085E" w:rsidP="003E085E">
      <w:pPr>
        <w:rPr>
          <w:rFonts w:cs="Arial"/>
          <w:lang w:eastAsia="en-AU"/>
        </w:rPr>
      </w:pPr>
      <w:r w:rsidRPr="00B2525C">
        <w:rPr>
          <w:rFonts w:cs="Arial"/>
          <w:lang w:eastAsia="en-AU"/>
        </w:rPr>
        <w:t>D</w:t>
      </w:r>
      <w:r w:rsidR="007253F7" w:rsidRPr="00B2525C">
        <w:rPr>
          <w:rFonts w:cs="Arial"/>
          <w:lang w:eastAsia="en-AU"/>
        </w:rPr>
        <w:t>ata from the state coroner shows there was no increase in suicides in Victoria in 2020,</w:t>
      </w:r>
      <w:r w:rsidR="00B82801" w:rsidRPr="00B2525C">
        <w:rPr>
          <w:rFonts w:cs="Arial"/>
          <w:lang w:eastAsia="en-AU"/>
        </w:rPr>
        <w:t xml:space="preserve"> compared to 2019</w:t>
      </w:r>
      <w:r w:rsidR="007253F7" w:rsidRPr="00B2525C">
        <w:rPr>
          <w:rFonts w:cs="Arial"/>
          <w:lang w:eastAsia="en-AU"/>
        </w:rPr>
        <w:t xml:space="preserve"> despite a spike of more than 40 per cent in calls for help to mental health hotlines</w:t>
      </w:r>
      <w:r w:rsidR="00B82801" w:rsidRPr="00B2525C">
        <w:rPr>
          <w:rFonts w:cs="Arial"/>
          <w:lang w:eastAsia="en-AU"/>
        </w:rPr>
        <w:t xml:space="preserve"> (</w:t>
      </w:r>
      <w:r w:rsidR="000F7117" w:rsidRPr="00B2525C">
        <w:rPr>
          <w:rFonts w:cs="Arial"/>
          <w:lang w:eastAsia="en-AU"/>
        </w:rPr>
        <w:t>C</w:t>
      </w:r>
      <w:r w:rsidR="00B82801" w:rsidRPr="00B2525C">
        <w:rPr>
          <w:rFonts w:cs="Arial"/>
          <w:lang w:eastAsia="en-AU"/>
        </w:rPr>
        <w:t>oroner</w:t>
      </w:r>
      <w:r w:rsidR="000F7117" w:rsidRPr="00B2525C">
        <w:rPr>
          <w:rFonts w:cs="Arial"/>
          <w:lang w:eastAsia="en-AU"/>
        </w:rPr>
        <w:t>s</w:t>
      </w:r>
      <w:r w:rsidR="00B82801" w:rsidRPr="00B2525C">
        <w:rPr>
          <w:rFonts w:cs="Arial"/>
          <w:lang w:eastAsia="en-AU"/>
        </w:rPr>
        <w:t xml:space="preserve"> </w:t>
      </w:r>
      <w:r w:rsidR="000F7117" w:rsidRPr="00B2525C">
        <w:rPr>
          <w:rFonts w:cs="Arial"/>
          <w:lang w:eastAsia="en-AU"/>
        </w:rPr>
        <w:t xml:space="preserve">Court Victoria, 2020). </w:t>
      </w:r>
      <w:r w:rsidR="00B95630" w:rsidRPr="00B2525C">
        <w:rPr>
          <w:rFonts w:cs="Arial"/>
          <w:lang w:eastAsia="en-AU"/>
        </w:rPr>
        <w:t xml:space="preserve">Between 2013-2017, </w:t>
      </w:r>
      <w:r w:rsidR="00E37EA5" w:rsidRPr="00B2525C">
        <w:rPr>
          <w:rFonts w:cs="Arial"/>
          <w:lang w:eastAsia="en-AU"/>
        </w:rPr>
        <w:t>Moonee Valley City Council</w:t>
      </w:r>
      <w:r w:rsidR="00B95630" w:rsidRPr="00B2525C">
        <w:rPr>
          <w:rFonts w:cs="Arial"/>
          <w:lang w:eastAsia="en-AU"/>
        </w:rPr>
        <w:t xml:space="preserve"> had a lower suicide rate per 100,000 than compared to Melbourne (7.8</w:t>
      </w:r>
      <w:r w:rsidR="006A34A3">
        <w:rPr>
          <w:rFonts w:cs="Arial"/>
          <w:lang w:eastAsia="en-AU"/>
        </w:rPr>
        <w:t xml:space="preserve"> out of 100, 000</w:t>
      </w:r>
      <w:r w:rsidR="00B95630" w:rsidRPr="00B2525C">
        <w:rPr>
          <w:rFonts w:cs="Arial"/>
          <w:lang w:eastAsia="en-AU"/>
        </w:rPr>
        <w:t xml:space="preserve"> and 9.1 </w:t>
      </w:r>
      <w:r w:rsidR="006A34A3">
        <w:rPr>
          <w:rFonts w:cs="Arial"/>
          <w:lang w:eastAsia="en-AU"/>
        </w:rPr>
        <w:t xml:space="preserve">out of 100, 000 </w:t>
      </w:r>
      <w:r w:rsidR="00B95630" w:rsidRPr="00B2525C">
        <w:rPr>
          <w:rFonts w:cs="Arial"/>
          <w:lang w:eastAsia="en-AU"/>
        </w:rPr>
        <w:t>respectively)</w:t>
      </w:r>
      <w:r w:rsidR="000F7117" w:rsidRPr="00B2525C">
        <w:rPr>
          <w:rFonts w:cs="Arial"/>
          <w:lang w:eastAsia="en-AU"/>
        </w:rPr>
        <w:t>.</w:t>
      </w:r>
    </w:p>
    <w:p w14:paraId="0ED0400F" w14:textId="77777777" w:rsidR="00E4221D" w:rsidRPr="00B2525C" w:rsidRDefault="00E4221D" w:rsidP="00A85DA8">
      <w:pPr>
        <w:rPr>
          <w:rFonts w:cs="Arial"/>
          <w:highlight w:val="yellow"/>
        </w:rPr>
      </w:pPr>
    </w:p>
    <w:bookmarkEnd w:id="58"/>
    <w:p w14:paraId="66364535" w14:textId="77777777" w:rsidR="000F3B07" w:rsidRPr="00B2525C" w:rsidRDefault="000F3B07">
      <w:pPr>
        <w:rPr>
          <w:rFonts w:eastAsiaTheme="majorEastAsia" w:cs="Arial"/>
          <w:b/>
          <w:color w:val="E65149"/>
          <w:szCs w:val="24"/>
        </w:rPr>
      </w:pPr>
      <w:r w:rsidRPr="00B2525C">
        <w:rPr>
          <w:rFonts w:cs="Arial"/>
        </w:rPr>
        <w:br w:type="page"/>
      </w:r>
    </w:p>
    <w:p w14:paraId="4B09E037" w14:textId="033A9845" w:rsidR="00EC4E90" w:rsidRPr="00B2525C" w:rsidRDefault="00B01D14" w:rsidP="00CD1128">
      <w:pPr>
        <w:pStyle w:val="Heading2"/>
        <w:rPr>
          <w:rFonts w:cs="Arial"/>
        </w:rPr>
      </w:pPr>
      <w:bookmarkStart w:id="59" w:name="X3f4840cd8dccdf9141f284072dae0f35edab81a"/>
      <w:r w:rsidRPr="00B2525C">
        <w:rPr>
          <w:rFonts w:cs="Arial"/>
        </w:rPr>
        <w:lastRenderedPageBreak/>
        <w:t>Sexual and repr</w:t>
      </w:r>
      <w:r w:rsidR="00B35B53" w:rsidRPr="00B2525C">
        <w:rPr>
          <w:rFonts w:cs="Arial"/>
        </w:rPr>
        <w:t>o</w:t>
      </w:r>
      <w:r w:rsidRPr="00B2525C">
        <w:rPr>
          <w:rFonts w:cs="Arial"/>
        </w:rPr>
        <w:t>ductive health</w:t>
      </w:r>
      <w:bookmarkEnd w:id="59"/>
    </w:p>
    <w:p w14:paraId="54EB6F47" w14:textId="77777777" w:rsidR="00180A7B" w:rsidRDefault="00180A7B" w:rsidP="000F7117">
      <w:pPr>
        <w:rPr>
          <w:rFonts w:cs="Arial"/>
        </w:rPr>
      </w:pPr>
    </w:p>
    <w:p w14:paraId="6718D3B4" w14:textId="4294D8A0" w:rsidR="000F7117" w:rsidRPr="00B2525C" w:rsidRDefault="00C42A99" w:rsidP="000F7117">
      <w:pPr>
        <w:rPr>
          <w:rFonts w:cs="Arial"/>
        </w:rPr>
      </w:pPr>
      <w:r w:rsidRPr="00B2525C">
        <w:rPr>
          <w:rFonts w:cs="Arial"/>
        </w:rPr>
        <w:t>Sexual and reproductive health (SRH) is a fundamental contributor to people’s optimal health and wellbeing (World Health Organi</w:t>
      </w:r>
      <w:r w:rsidR="000F7117" w:rsidRPr="00B2525C">
        <w:rPr>
          <w:rFonts w:cs="Arial"/>
        </w:rPr>
        <w:t>z</w:t>
      </w:r>
      <w:r w:rsidRPr="00B2525C">
        <w:rPr>
          <w:rFonts w:cs="Arial"/>
        </w:rPr>
        <w:t>ation</w:t>
      </w:r>
      <w:r w:rsidR="000F7117" w:rsidRPr="00B2525C">
        <w:rPr>
          <w:rFonts w:cs="Arial"/>
        </w:rPr>
        <w:t>,</w:t>
      </w:r>
      <w:r w:rsidRPr="00B2525C">
        <w:rPr>
          <w:rFonts w:cs="Arial"/>
        </w:rPr>
        <w:t xml:space="preserve"> 2010).</w:t>
      </w:r>
      <w:r w:rsidR="00B91F3A" w:rsidRPr="00B2525C">
        <w:rPr>
          <w:rFonts w:cs="Arial"/>
          <w:color w:val="202124"/>
          <w:shd w:val="clear" w:color="auto" w:fill="FFFFFF"/>
        </w:rPr>
        <w:t xml:space="preserve"> </w:t>
      </w:r>
      <w:r w:rsidR="006A34A3">
        <w:rPr>
          <w:rFonts w:cs="Arial"/>
        </w:rPr>
        <w:t>S</w:t>
      </w:r>
      <w:r w:rsidR="006A34A3" w:rsidRPr="00B2525C">
        <w:rPr>
          <w:rFonts w:cs="Arial"/>
        </w:rPr>
        <w:t>exually transmitted infections (STIs</w:t>
      </w:r>
      <w:r w:rsidR="006A34A3">
        <w:rPr>
          <w:rFonts w:cs="Arial"/>
        </w:rPr>
        <w:t>)</w:t>
      </w:r>
      <w:r w:rsidR="006A34A3" w:rsidRPr="00B2525C">
        <w:rPr>
          <w:rFonts w:cs="Arial"/>
          <w:color w:val="202124"/>
          <w:shd w:val="clear" w:color="auto" w:fill="FFFFFF"/>
        </w:rPr>
        <w:t xml:space="preserve"> </w:t>
      </w:r>
      <w:r w:rsidR="00B91F3A" w:rsidRPr="00B2525C">
        <w:rPr>
          <w:rFonts w:cs="Arial"/>
          <w:color w:val="202124"/>
          <w:shd w:val="clear" w:color="auto" w:fill="FFFFFF"/>
        </w:rPr>
        <w:t>are sexually transmitted infections.</w:t>
      </w:r>
      <w:r w:rsidR="006A34A3">
        <w:rPr>
          <w:rFonts w:cs="Arial"/>
          <w:color w:val="202124"/>
          <w:shd w:val="clear" w:color="auto" w:fill="FFFFFF"/>
        </w:rPr>
        <w:t xml:space="preserve"> S</w:t>
      </w:r>
      <w:r w:rsidR="006A34A3" w:rsidRPr="00B2525C">
        <w:rPr>
          <w:rFonts w:cs="Arial"/>
        </w:rPr>
        <w:t xml:space="preserve">exually transmitted diseases </w:t>
      </w:r>
      <w:r w:rsidR="006A34A3">
        <w:rPr>
          <w:rFonts w:cs="Arial"/>
        </w:rPr>
        <w:t>(</w:t>
      </w:r>
      <w:r w:rsidR="00B91F3A" w:rsidRPr="00B2525C">
        <w:rPr>
          <w:rFonts w:cs="Arial"/>
          <w:color w:val="202124"/>
          <w:shd w:val="clear" w:color="auto" w:fill="FFFFFF"/>
        </w:rPr>
        <w:t>STDs</w:t>
      </w:r>
      <w:r w:rsidR="006A34A3">
        <w:rPr>
          <w:rFonts w:cs="Arial"/>
          <w:color w:val="202124"/>
          <w:shd w:val="clear" w:color="auto" w:fill="FFFFFF"/>
        </w:rPr>
        <w:t>)</w:t>
      </w:r>
      <w:r w:rsidR="00B91F3A" w:rsidRPr="00B2525C">
        <w:rPr>
          <w:rFonts w:cs="Arial"/>
          <w:color w:val="202124"/>
          <w:shd w:val="clear" w:color="auto" w:fill="FFFFFF"/>
        </w:rPr>
        <w:t> </w:t>
      </w:r>
      <w:r w:rsidR="0047476D">
        <w:rPr>
          <w:rFonts w:cs="Arial"/>
          <w:color w:val="202124"/>
          <w:shd w:val="clear" w:color="auto" w:fill="FFFFFF"/>
        </w:rPr>
        <w:t>are</w:t>
      </w:r>
      <w:r w:rsidR="00B91F3A" w:rsidRPr="00B2525C">
        <w:rPr>
          <w:rFonts w:cs="Arial"/>
          <w:color w:val="202124"/>
          <w:shd w:val="clear" w:color="auto" w:fill="FFFFFF"/>
        </w:rPr>
        <w:t> STI</w:t>
      </w:r>
      <w:r w:rsidR="0047476D">
        <w:rPr>
          <w:rFonts w:cs="Arial"/>
          <w:color w:val="202124"/>
          <w:shd w:val="clear" w:color="auto" w:fill="FFFFFF"/>
        </w:rPr>
        <w:t>’s</w:t>
      </w:r>
      <w:r w:rsidR="00B91F3A" w:rsidRPr="00B2525C">
        <w:rPr>
          <w:rFonts w:cs="Arial"/>
          <w:color w:val="202124"/>
          <w:shd w:val="clear" w:color="auto" w:fill="FFFFFF"/>
        </w:rPr>
        <w:t> that cause</w:t>
      </w:r>
      <w:r w:rsidR="0047476D">
        <w:rPr>
          <w:rFonts w:cs="Arial"/>
          <w:color w:val="202124"/>
          <w:shd w:val="clear" w:color="auto" w:fill="FFFFFF"/>
        </w:rPr>
        <w:t xml:space="preserve"> disease.</w:t>
      </w:r>
    </w:p>
    <w:p w14:paraId="3E7E8339" w14:textId="70E3FD42" w:rsidR="003B4D08" w:rsidRPr="00B2525C" w:rsidRDefault="00C42A99" w:rsidP="00B26B2F">
      <w:pPr>
        <w:rPr>
          <w:rFonts w:cs="Arial"/>
        </w:rPr>
      </w:pPr>
      <w:r w:rsidRPr="00B2525C">
        <w:rPr>
          <w:rFonts w:cs="Arial"/>
        </w:rPr>
        <w:t xml:space="preserve">Data </w:t>
      </w:r>
      <w:r w:rsidR="00B26B2F" w:rsidRPr="00B2525C">
        <w:rPr>
          <w:rFonts w:cs="Arial"/>
        </w:rPr>
        <w:t xml:space="preserve">from Women’s </w:t>
      </w:r>
      <w:r w:rsidR="00180A7B">
        <w:rPr>
          <w:rFonts w:cs="Arial"/>
        </w:rPr>
        <w:t>H</w:t>
      </w:r>
      <w:r w:rsidR="00B26B2F" w:rsidRPr="00B2525C">
        <w:rPr>
          <w:rFonts w:cs="Arial"/>
        </w:rPr>
        <w:t xml:space="preserve">ealth Victoria </w:t>
      </w:r>
      <w:r w:rsidRPr="00B2525C">
        <w:rPr>
          <w:rFonts w:cs="Arial"/>
        </w:rPr>
        <w:t>shows there are increasing rates of STIs, low uptake of contraception, low rates of cervical screening, as well as a lack of access to quality healthcare and health education</w:t>
      </w:r>
      <w:r w:rsidR="00B26B2F" w:rsidRPr="00B2525C">
        <w:rPr>
          <w:rFonts w:cs="Arial"/>
        </w:rPr>
        <w:t xml:space="preserve"> in </w:t>
      </w:r>
      <w:r w:rsidR="00B91F3A" w:rsidRPr="00B2525C">
        <w:rPr>
          <w:rFonts w:cs="Arial"/>
        </w:rPr>
        <w:t>Victoria</w:t>
      </w:r>
      <w:r w:rsidR="000F7117" w:rsidRPr="00B2525C">
        <w:rPr>
          <w:rFonts w:cs="Arial"/>
        </w:rPr>
        <w:t xml:space="preserve"> </w:t>
      </w:r>
      <w:r w:rsidR="00B26B2F" w:rsidRPr="00B2525C">
        <w:rPr>
          <w:rFonts w:cs="Arial"/>
        </w:rPr>
        <w:t>(Women’s Health Victoria</w:t>
      </w:r>
      <w:r w:rsidR="000F7117" w:rsidRPr="00B2525C">
        <w:rPr>
          <w:rFonts w:cs="Arial"/>
        </w:rPr>
        <w:t xml:space="preserve">, </w:t>
      </w:r>
      <w:r w:rsidR="00B26B2F" w:rsidRPr="00B2525C">
        <w:rPr>
          <w:rFonts w:cs="Arial"/>
        </w:rPr>
        <w:t xml:space="preserve">2020). </w:t>
      </w:r>
    </w:p>
    <w:p w14:paraId="167CEB97" w14:textId="373FDFBD" w:rsidR="00EC4E90" w:rsidRDefault="00C42A99" w:rsidP="00B26B2F">
      <w:pPr>
        <w:rPr>
          <w:rFonts w:cs="Arial"/>
        </w:rPr>
      </w:pPr>
      <w:r w:rsidRPr="00B2525C">
        <w:rPr>
          <w:rFonts w:cs="Arial"/>
        </w:rPr>
        <w:t>The western metropolitan region of Melbourne is disproportionately impacted by poor SRH health outcomes.</w:t>
      </w:r>
      <w:r w:rsidR="003B4D08" w:rsidRPr="00B2525C">
        <w:rPr>
          <w:rFonts w:cs="Arial"/>
        </w:rPr>
        <w:t xml:space="preserve"> </w:t>
      </w:r>
      <w:r w:rsidR="00B91F3A" w:rsidRPr="00B2525C">
        <w:rPr>
          <w:rFonts w:cs="Arial"/>
        </w:rPr>
        <w:t>I</w:t>
      </w:r>
      <w:r w:rsidR="003B4D08" w:rsidRPr="00B2525C">
        <w:rPr>
          <w:rFonts w:cs="Arial"/>
        </w:rPr>
        <w:t>n Moonee Valley, r</w:t>
      </w:r>
      <w:r w:rsidR="00B01D14" w:rsidRPr="00B2525C">
        <w:rPr>
          <w:rFonts w:cs="Arial"/>
        </w:rPr>
        <w:t>ates of</w:t>
      </w:r>
      <w:r w:rsidR="00A75399" w:rsidRPr="00B2525C">
        <w:rPr>
          <w:rFonts w:cs="Arial"/>
        </w:rPr>
        <w:t xml:space="preserve"> </w:t>
      </w:r>
      <w:r w:rsidR="006A34A3">
        <w:rPr>
          <w:rFonts w:cs="Arial"/>
        </w:rPr>
        <w:t>STDs</w:t>
      </w:r>
      <w:r w:rsidR="00561C37" w:rsidRPr="00B2525C">
        <w:rPr>
          <w:rFonts w:cs="Arial"/>
        </w:rPr>
        <w:t xml:space="preserve"> including</w:t>
      </w:r>
      <w:r w:rsidR="00B01D14" w:rsidRPr="00B2525C">
        <w:rPr>
          <w:rFonts w:cs="Arial"/>
        </w:rPr>
        <w:t xml:space="preserve"> chlamydia, gonorrhoea and hepatitis B are lower than for the Metro West region, and are lower for females than males.</w:t>
      </w:r>
      <w:r w:rsidR="003B4D08" w:rsidRPr="00B2525C">
        <w:rPr>
          <w:rFonts w:cs="Arial"/>
        </w:rPr>
        <w:t xml:space="preserve"> </w:t>
      </w:r>
      <w:r w:rsidR="00427EF3" w:rsidRPr="00B2525C">
        <w:rPr>
          <w:rFonts w:cs="Arial"/>
        </w:rPr>
        <w:t>In addition, while rates of gonorrhoea are lower in Moonee Valley than for the metro west region, they are still higher than the Victorian rates for males (6.6 per 10,00) and females (2.1 per 10,000)</w:t>
      </w:r>
      <w:r w:rsidR="00B26B2F" w:rsidRPr="00B2525C">
        <w:rPr>
          <w:rFonts w:cs="Arial"/>
        </w:rPr>
        <w:t>.</w:t>
      </w:r>
    </w:p>
    <w:p w14:paraId="5166B714" w14:textId="77777777" w:rsidR="00CA2B45" w:rsidRDefault="00CA2B45" w:rsidP="00B26B2F">
      <w:pPr>
        <w:rPr>
          <w:rFonts w:cs="Arial"/>
        </w:rPr>
      </w:pPr>
    </w:p>
    <w:p w14:paraId="6C8A4F15" w14:textId="3D535A42" w:rsidR="00CA2B45" w:rsidRPr="00B2525C" w:rsidRDefault="00CA2B45" w:rsidP="00B26B2F">
      <w:pPr>
        <w:rPr>
          <w:rFonts w:cs="Arial"/>
        </w:rPr>
      </w:pPr>
      <w:r w:rsidRPr="00CA2B45">
        <w:rPr>
          <w:rFonts w:cs="Arial"/>
          <w:b/>
        </w:rPr>
        <w:t>Figure</w:t>
      </w:r>
      <w:r w:rsidR="00C81826">
        <w:rPr>
          <w:rFonts w:cs="Arial"/>
        </w:rPr>
        <w:t xml:space="preserve"> </w:t>
      </w:r>
      <w:r w:rsidR="007C408E">
        <w:rPr>
          <w:rFonts w:cs="Arial"/>
        </w:rPr>
        <w:t xml:space="preserve">66. </w:t>
      </w:r>
      <w:r w:rsidRPr="00CA2B45">
        <w:rPr>
          <w:rFonts w:cs="Arial"/>
        </w:rPr>
        <w:t>Selected sexual and reproductive health indicators, by sex</w:t>
      </w:r>
    </w:p>
    <w:p w14:paraId="1108CA26" w14:textId="77777777" w:rsidR="00EC4E90" w:rsidRPr="00B2525C" w:rsidRDefault="00EC4E90" w:rsidP="001562D6">
      <w:pPr>
        <w:pStyle w:val="NoSpacing"/>
        <w:rPr>
          <w:rFonts w:ascii="Arial" w:hAnsi="Arial" w:cs="Arial"/>
        </w:rPr>
      </w:pPr>
    </w:p>
    <w:p w14:paraId="193FCE7A" w14:textId="77777777" w:rsidR="001562D6" w:rsidRPr="00B2525C" w:rsidRDefault="001562D6" w:rsidP="00E2512F">
      <w:pPr>
        <w:pStyle w:val="NoSpacing"/>
        <w:rPr>
          <w:rFonts w:ascii="Arial" w:hAnsi="Arial" w:cs="Arial"/>
        </w:rPr>
      </w:pPr>
      <w:r w:rsidRPr="00B2525C">
        <w:rPr>
          <w:rFonts w:ascii="Arial" w:hAnsi="Arial" w:cs="Arial"/>
          <w:noProof/>
        </w:rPr>
        <w:drawing>
          <wp:inline distT="0" distB="0" distL="0" distR="0" wp14:anchorId="337CD557" wp14:editId="571131A3">
            <wp:extent cx="5782733" cy="4366895"/>
            <wp:effectExtent l="0" t="0" r="8890" b="0"/>
            <wp:docPr id="100" name="Chart 100">
              <a:extLst xmlns:a="http://schemas.openxmlformats.org/drawingml/2006/main">
                <a:ext uri="{FF2B5EF4-FFF2-40B4-BE49-F238E27FC236}">
                  <a16:creationId xmlns:a16="http://schemas.microsoft.com/office/drawing/2014/main" id="{F395C8F6-5899-4C08-BFD5-F8EE39024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FE0DA6A" w14:textId="77777777" w:rsidR="00E2512F" w:rsidRDefault="00E2512F" w:rsidP="00E2512F">
      <w:pPr>
        <w:pStyle w:val="Caption"/>
        <w:rPr>
          <w:rFonts w:cs="Arial"/>
        </w:rPr>
      </w:pPr>
      <w:r w:rsidRPr="00B2525C">
        <w:rPr>
          <w:rFonts w:cs="Arial"/>
        </w:rPr>
        <w:t>Source: Women’s Health Victoria, Women’s Health Atlas, 2020</w:t>
      </w:r>
    </w:p>
    <w:p w14:paraId="3027E1E9" w14:textId="1E5D0DFC" w:rsidR="00180A7B" w:rsidRDefault="00180A7B" w:rsidP="00180A7B"/>
    <w:p w14:paraId="0512737A" w14:textId="77777777" w:rsidR="00095424" w:rsidRPr="00B2525C" w:rsidRDefault="00095424" w:rsidP="000D465C">
      <w:pPr>
        <w:pStyle w:val="Heading2"/>
        <w:rPr>
          <w:rFonts w:cs="Arial"/>
        </w:rPr>
      </w:pPr>
      <w:bookmarkStart w:id="60" w:name="premature-deaths"/>
      <w:r w:rsidRPr="00B2525C">
        <w:rPr>
          <w:rFonts w:cs="Arial"/>
        </w:rPr>
        <w:lastRenderedPageBreak/>
        <w:t>Injury</w:t>
      </w:r>
    </w:p>
    <w:p w14:paraId="2FE4BBE7" w14:textId="77777777" w:rsidR="00180A7B" w:rsidRDefault="00180A7B" w:rsidP="00B91F3A">
      <w:pPr>
        <w:rPr>
          <w:rFonts w:cs="Arial"/>
        </w:rPr>
      </w:pPr>
    </w:p>
    <w:p w14:paraId="750969AD" w14:textId="77777777" w:rsidR="00411BCD" w:rsidRPr="00B2525C" w:rsidRDefault="00411BCD" w:rsidP="00B91F3A">
      <w:pPr>
        <w:rPr>
          <w:rFonts w:cs="Arial"/>
        </w:rPr>
      </w:pPr>
      <w:r w:rsidRPr="00B2525C">
        <w:rPr>
          <w:rFonts w:cs="Arial"/>
        </w:rPr>
        <w:t>Injury may be intentional (e.g. caused by violence from another person) or unintentional (e.g. caused by falls</w:t>
      </w:r>
      <w:r w:rsidR="002B6129" w:rsidRPr="00B2525C">
        <w:rPr>
          <w:rFonts w:cs="Arial"/>
        </w:rPr>
        <w:t xml:space="preserve"> and </w:t>
      </w:r>
      <w:r w:rsidRPr="00B2525C">
        <w:rPr>
          <w:rFonts w:cs="Arial"/>
        </w:rPr>
        <w:t xml:space="preserve">road accidents). The role of </w:t>
      </w:r>
      <w:r w:rsidR="00180A7B">
        <w:rPr>
          <w:rFonts w:cs="Arial"/>
        </w:rPr>
        <w:t xml:space="preserve">municipal </w:t>
      </w:r>
      <w:r w:rsidRPr="00B2525C">
        <w:rPr>
          <w:rFonts w:cs="Arial"/>
        </w:rPr>
        <w:t>public health cover</w:t>
      </w:r>
      <w:r w:rsidR="00180A7B">
        <w:rPr>
          <w:rFonts w:cs="Arial"/>
        </w:rPr>
        <w:t>s</w:t>
      </w:r>
      <w:r w:rsidRPr="00B2525C">
        <w:rPr>
          <w:rFonts w:cs="Arial"/>
        </w:rPr>
        <w:t xml:space="preserve"> prevention, early intervention and risk mitigation.</w:t>
      </w:r>
    </w:p>
    <w:p w14:paraId="05280D1C" w14:textId="77777777" w:rsidR="00BE656A" w:rsidRPr="00B2525C" w:rsidRDefault="00BE656A" w:rsidP="00B91F3A">
      <w:pPr>
        <w:rPr>
          <w:rFonts w:cs="Arial"/>
          <w:sz w:val="16"/>
        </w:rPr>
      </w:pPr>
    </w:p>
    <w:p w14:paraId="6C8B9701" w14:textId="77777777" w:rsidR="00095424" w:rsidRPr="00B2525C" w:rsidRDefault="00095424" w:rsidP="00671084">
      <w:pPr>
        <w:pStyle w:val="Heading3"/>
        <w:rPr>
          <w:rFonts w:cs="Arial"/>
        </w:rPr>
      </w:pPr>
      <w:bookmarkStart w:id="61" w:name="_bookmark57"/>
      <w:bookmarkEnd w:id="61"/>
      <w:r w:rsidRPr="00B2525C">
        <w:rPr>
          <w:rFonts w:cs="Arial"/>
        </w:rPr>
        <w:t>Falls</w:t>
      </w:r>
    </w:p>
    <w:p w14:paraId="422CE52B" w14:textId="77777777" w:rsidR="00C71EE3" w:rsidRPr="00B2525C" w:rsidRDefault="00411BCD" w:rsidP="00C71EE3">
      <w:pPr>
        <w:rPr>
          <w:rFonts w:cs="Arial"/>
        </w:rPr>
      </w:pPr>
      <w:r w:rsidRPr="00B2525C">
        <w:rPr>
          <w:rFonts w:cs="Arial"/>
        </w:rPr>
        <w:t>Falls are the leading cause of unintentional injury in older Australians. Experiencing a fall can trigger a loss of confidence in an older person and lead to an ongoing fear of falling. This can lead to the person limiting their movements and reducing their activity, which further increases the risk of falling due to declining physical health. Falls can also result in a permanent loss of mobility, or higher reliance on mobility equipment such as walking frames and wheelchairs</w:t>
      </w:r>
      <w:r w:rsidR="00180A7B">
        <w:rPr>
          <w:rFonts w:cs="Arial"/>
        </w:rPr>
        <w:t>,</w:t>
      </w:r>
      <w:r w:rsidRPr="00B2525C">
        <w:rPr>
          <w:rFonts w:cs="Arial"/>
        </w:rPr>
        <w:t xml:space="preserve"> and carer assistance.</w:t>
      </w:r>
      <w:r w:rsidR="00095424" w:rsidRPr="00B2525C">
        <w:rPr>
          <w:rFonts w:cs="Arial"/>
        </w:rPr>
        <w:t xml:space="preserve"> Prior fall history is a major contributor to admission to residential aged care.</w:t>
      </w:r>
      <w:r w:rsidR="005D4591" w:rsidRPr="00B2525C">
        <w:rPr>
          <w:rFonts w:cs="Arial"/>
        </w:rPr>
        <w:t xml:space="preserve"> </w:t>
      </w:r>
      <w:r w:rsidR="005D4591" w:rsidRPr="00B2525C">
        <w:rPr>
          <w:rFonts w:cs="Arial"/>
          <w:lang w:eastAsia="en-AU"/>
        </w:rPr>
        <w:t>F</w:t>
      </w:r>
      <w:r w:rsidR="002903BD" w:rsidRPr="00B2525C">
        <w:rPr>
          <w:rFonts w:cs="Arial"/>
          <w:lang w:eastAsia="en-AU"/>
        </w:rPr>
        <w:t>actors implicated in falls include hazardous home environments, uneven road and footpath environments. Indirect factors are limited availability or access to health services to prevent frailty and pre-existing health conditions</w:t>
      </w:r>
      <w:r w:rsidR="0029000B" w:rsidRPr="00B2525C">
        <w:rPr>
          <w:rFonts w:cs="Arial"/>
          <w:lang w:eastAsia="en-AU"/>
        </w:rPr>
        <w:t xml:space="preserve"> </w:t>
      </w:r>
      <w:r w:rsidR="002903BD" w:rsidRPr="00B2525C">
        <w:rPr>
          <w:rFonts w:cs="Arial"/>
          <w:lang w:eastAsia="en-AU"/>
        </w:rPr>
        <w:t>(</w:t>
      </w:r>
      <w:r w:rsidR="005D4591" w:rsidRPr="00B2525C">
        <w:rPr>
          <w:rFonts w:cs="Arial"/>
          <w:lang w:eastAsia="en-AU"/>
        </w:rPr>
        <w:t>DHHS,</w:t>
      </w:r>
      <w:r w:rsidR="002903BD" w:rsidRPr="00B2525C">
        <w:rPr>
          <w:rFonts w:cs="Arial"/>
          <w:lang w:eastAsia="en-AU"/>
        </w:rPr>
        <w:t xml:space="preserve"> 20</w:t>
      </w:r>
      <w:r w:rsidR="005D4591" w:rsidRPr="00B2525C">
        <w:rPr>
          <w:rFonts w:cs="Arial"/>
          <w:lang w:eastAsia="en-AU"/>
        </w:rPr>
        <w:t>18</w:t>
      </w:r>
      <w:r w:rsidR="002903BD" w:rsidRPr="00B2525C">
        <w:rPr>
          <w:rFonts w:cs="Arial"/>
          <w:lang w:eastAsia="en-AU"/>
        </w:rPr>
        <w:t>).</w:t>
      </w:r>
    </w:p>
    <w:p w14:paraId="4F607A5D" w14:textId="77777777" w:rsidR="002903BD" w:rsidRPr="00B2525C" w:rsidRDefault="002903BD" w:rsidP="00B859C6">
      <w:pPr>
        <w:rPr>
          <w:rFonts w:cs="Arial"/>
        </w:rPr>
      </w:pPr>
    </w:p>
    <w:p w14:paraId="43431029" w14:textId="14E34194" w:rsidR="00C71EE3" w:rsidRPr="00B2525C" w:rsidRDefault="002903BD" w:rsidP="00C71EE3">
      <w:pPr>
        <w:rPr>
          <w:rFonts w:cs="Arial"/>
          <w:sz w:val="14"/>
        </w:rPr>
      </w:pPr>
      <w:r w:rsidRPr="00B2525C">
        <w:rPr>
          <w:rFonts w:cs="Arial"/>
        </w:rPr>
        <w:t xml:space="preserve">In 2018, falls were the leading cause of unintentional injury </w:t>
      </w:r>
      <w:r w:rsidRPr="00B2525C">
        <w:rPr>
          <w:rFonts w:eastAsia="Times New Roman" w:cs="Arial"/>
        </w:rPr>
        <w:t xml:space="preserve">accounting for 2311 </w:t>
      </w:r>
      <w:r w:rsidRPr="00B2525C">
        <w:rPr>
          <w:rFonts w:cs="Arial"/>
        </w:rPr>
        <w:t xml:space="preserve">hospitalisations for Moonee Valley </w:t>
      </w:r>
      <w:r w:rsidR="00C1464B">
        <w:rPr>
          <w:rFonts w:cs="Arial"/>
        </w:rPr>
        <w:t>r</w:t>
      </w:r>
      <w:r w:rsidRPr="00B2525C">
        <w:rPr>
          <w:rFonts w:cs="Arial"/>
        </w:rPr>
        <w:t>esidents.</w:t>
      </w:r>
      <w:r w:rsidR="00C71EE3" w:rsidRPr="00B2525C">
        <w:rPr>
          <w:rFonts w:cs="Arial"/>
        </w:rPr>
        <w:t xml:space="preserve"> In Moonee Valley the percentage of unintentional injuries caused by falls is the third highest in the state (45.9per cent compared to the Victorian average of 38.7per cent)</w:t>
      </w:r>
      <w:r w:rsidR="00C71EE3" w:rsidRPr="00B2525C">
        <w:rPr>
          <w:rFonts w:eastAsia="Times New Roman" w:cs="Arial"/>
        </w:rPr>
        <w:t xml:space="preserve"> (2018, Victorian Injury Surveillance Unit Monash University)</w:t>
      </w:r>
      <w:r w:rsidR="00C71EE3" w:rsidRPr="00B2525C">
        <w:rPr>
          <w:rFonts w:cs="Arial"/>
        </w:rPr>
        <w:t>.</w:t>
      </w:r>
      <w:r w:rsidR="0047476D">
        <w:rPr>
          <w:rFonts w:cs="Arial"/>
        </w:rPr>
        <w:t xml:space="preserve"> It is important to note these statistics do not differentiate between whether falls occur in the home or the public realm.</w:t>
      </w:r>
    </w:p>
    <w:p w14:paraId="7ECFCE95" w14:textId="77777777" w:rsidR="002903BD" w:rsidRDefault="002903BD" w:rsidP="002903BD">
      <w:pPr>
        <w:spacing w:after="0"/>
        <w:rPr>
          <w:rFonts w:eastAsia="Times New Roman" w:cs="Arial"/>
        </w:rPr>
      </w:pPr>
    </w:p>
    <w:p w14:paraId="0535143B" w14:textId="4E2A925D" w:rsidR="00CA2B45" w:rsidRPr="00B2525C" w:rsidRDefault="00CA2B45" w:rsidP="002903BD">
      <w:pPr>
        <w:spacing w:after="0"/>
        <w:rPr>
          <w:rFonts w:eastAsia="Times New Roman" w:cs="Arial"/>
        </w:rPr>
      </w:pPr>
      <w:r w:rsidRPr="00CA2B45">
        <w:rPr>
          <w:rFonts w:eastAsia="Times New Roman" w:cs="Arial"/>
          <w:b/>
        </w:rPr>
        <w:t>Figure</w:t>
      </w:r>
      <w:r w:rsidR="007C408E">
        <w:rPr>
          <w:rFonts w:eastAsia="Times New Roman" w:cs="Arial"/>
          <w:b/>
        </w:rPr>
        <w:t xml:space="preserve"> 67. </w:t>
      </w:r>
      <w:r>
        <w:rPr>
          <w:rFonts w:eastAsia="Times New Roman" w:cs="Arial"/>
        </w:rPr>
        <w:t>Hospitalisations: Unintentional injury’s</w:t>
      </w:r>
    </w:p>
    <w:p w14:paraId="6055D6B3" w14:textId="77777777" w:rsidR="002903BD" w:rsidRPr="00B2525C" w:rsidRDefault="002903BD" w:rsidP="002903BD">
      <w:pPr>
        <w:rPr>
          <w:rFonts w:cs="Arial"/>
          <w:sz w:val="16"/>
        </w:rPr>
      </w:pPr>
    </w:p>
    <w:p w14:paraId="581A84DE" w14:textId="77777777" w:rsidR="002903BD" w:rsidRPr="00B2525C" w:rsidRDefault="002903BD" w:rsidP="002903BD">
      <w:pPr>
        <w:rPr>
          <w:rFonts w:cs="Arial"/>
          <w:sz w:val="16"/>
        </w:rPr>
      </w:pPr>
      <w:r w:rsidRPr="00B2525C">
        <w:rPr>
          <w:rFonts w:cs="Arial"/>
          <w:noProof/>
          <w:sz w:val="16"/>
        </w:rPr>
        <w:drawing>
          <wp:inline distT="0" distB="0" distL="0" distR="0" wp14:anchorId="49AA1B8C" wp14:editId="1DEFA1D4">
            <wp:extent cx="5873750" cy="2540000"/>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73750" cy="2540000"/>
                    </a:xfrm>
                    <a:prstGeom prst="rect">
                      <a:avLst/>
                    </a:prstGeom>
                  </pic:spPr>
                </pic:pic>
              </a:graphicData>
            </a:graphic>
          </wp:inline>
        </w:drawing>
      </w:r>
    </w:p>
    <w:p w14:paraId="0C680B73" w14:textId="77777777" w:rsidR="00411BCD" w:rsidRPr="00B92E67" w:rsidRDefault="002903BD" w:rsidP="00B92E67">
      <w:pPr>
        <w:spacing w:after="0"/>
        <w:rPr>
          <w:i/>
          <w:sz w:val="20"/>
          <w:szCs w:val="20"/>
        </w:rPr>
      </w:pPr>
      <w:r w:rsidRPr="00B92E67">
        <w:rPr>
          <w:rFonts w:eastAsia="Times New Roman" w:cs="Arial"/>
          <w:i/>
          <w:sz w:val="20"/>
          <w:szCs w:val="20"/>
        </w:rPr>
        <w:t xml:space="preserve">Source: 2018. Victorian Injury Surveillance Unit Monash University, published in the </w:t>
      </w:r>
      <w:hyperlink r:id="rId99" w:history="1">
        <w:r w:rsidRPr="00B92E67">
          <w:rPr>
            <w:rStyle w:val="Hyperlink"/>
            <w:rFonts w:eastAsia="Times New Roman" w:cs="Arial"/>
            <w:i/>
            <w:sz w:val="20"/>
            <w:szCs w:val="20"/>
          </w:rPr>
          <w:t>Injury Atlas Victoria</w:t>
        </w:r>
      </w:hyperlink>
      <w:r w:rsidRPr="00B92E67">
        <w:rPr>
          <w:rFonts w:eastAsia="Times New Roman" w:cs="Arial"/>
          <w:i/>
          <w:sz w:val="20"/>
          <w:szCs w:val="20"/>
        </w:rPr>
        <w:t xml:space="preserve">. </w:t>
      </w:r>
    </w:p>
    <w:p w14:paraId="0E8BE33E" w14:textId="77777777" w:rsidR="00411BCD" w:rsidRDefault="00411BCD" w:rsidP="00BE2883">
      <w:pPr>
        <w:pStyle w:val="BodyText"/>
      </w:pPr>
    </w:p>
    <w:p w14:paraId="2799784C" w14:textId="77777777" w:rsidR="00180A7B" w:rsidRDefault="00180A7B" w:rsidP="00BE2883">
      <w:pPr>
        <w:pStyle w:val="BodyText"/>
      </w:pPr>
    </w:p>
    <w:p w14:paraId="45A8CCFB" w14:textId="77777777" w:rsidR="00180A7B" w:rsidRPr="00B2525C" w:rsidRDefault="00180A7B" w:rsidP="00BE2883">
      <w:pPr>
        <w:pStyle w:val="BodyText"/>
      </w:pPr>
    </w:p>
    <w:p w14:paraId="77CC9D0F" w14:textId="77777777" w:rsidR="00411BCD" w:rsidRPr="00B2525C" w:rsidRDefault="00411BCD" w:rsidP="000D465C">
      <w:pPr>
        <w:pStyle w:val="Heading3"/>
        <w:rPr>
          <w:rFonts w:cs="Arial"/>
        </w:rPr>
      </w:pPr>
      <w:bookmarkStart w:id="62" w:name="_bookmark58"/>
      <w:bookmarkEnd w:id="62"/>
      <w:r w:rsidRPr="00B2525C">
        <w:rPr>
          <w:rFonts w:cs="Arial"/>
        </w:rPr>
        <w:t xml:space="preserve">Road </w:t>
      </w:r>
      <w:r w:rsidRPr="00B2525C">
        <w:rPr>
          <w:rFonts w:cs="Arial"/>
          <w:spacing w:val="-3"/>
        </w:rPr>
        <w:t>related</w:t>
      </w:r>
      <w:r w:rsidRPr="00B2525C">
        <w:rPr>
          <w:rFonts w:cs="Arial"/>
          <w:spacing w:val="-16"/>
        </w:rPr>
        <w:t xml:space="preserve"> </w:t>
      </w:r>
      <w:r w:rsidRPr="00B2525C">
        <w:rPr>
          <w:rFonts w:cs="Arial"/>
        </w:rPr>
        <w:t>injury</w:t>
      </w:r>
    </w:p>
    <w:p w14:paraId="7FB24D85" w14:textId="77777777" w:rsidR="00B62034" w:rsidRPr="00B2525C" w:rsidRDefault="00B62034" w:rsidP="00671084">
      <w:pPr>
        <w:rPr>
          <w:rFonts w:cs="Arial"/>
        </w:rPr>
      </w:pPr>
      <w:r w:rsidRPr="00B2525C">
        <w:rPr>
          <w:rFonts w:cs="Arial"/>
        </w:rPr>
        <w:t xml:space="preserve">Data </w:t>
      </w:r>
      <w:r w:rsidR="00671084" w:rsidRPr="00B2525C">
        <w:rPr>
          <w:rFonts w:cs="Arial"/>
        </w:rPr>
        <w:t>compiled</w:t>
      </w:r>
      <w:r w:rsidRPr="00B2525C">
        <w:rPr>
          <w:rFonts w:cs="Arial"/>
        </w:rPr>
        <w:t xml:space="preserve"> by </w:t>
      </w:r>
      <w:r w:rsidR="00A6045E" w:rsidRPr="00B2525C">
        <w:rPr>
          <w:rFonts w:cs="Arial"/>
        </w:rPr>
        <w:t>VicRoads</w:t>
      </w:r>
      <w:r w:rsidRPr="00B2525C">
        <w:rPr>
          <w:rFonts w:cs="Arial"/>
        </w:rPr>
        <w:t xml:space="preserve"> show that from the period 2014 to July 2019 there was 15 road related fatalities in Moonee valley, 226 serious injuries and 1,281 other injuries. A </w:t>
      </w:r>
      <w:r w:rsidR="00671084" w:rsidRPr="00B2525C">
        <w:rPr>
          <w:rFonts w:cs="Arial"/>
        </w:rPr>
        <w:t>‘</w:t>
      </w:r>
      <w:r w:rsidRPr="00B2525C">
        <w:rPr>
          <w:rFonts w:cs="Arial"/>
        </w:rPr>
        <w:t>serious injury</w:t>
      </w:r>
      <w:r w:rsidR="00671084" w:rsidRPr="00B2525C">
        <w:rPr>
          <w:rFonts w:cs="Arial"/>
        </w:rPr>
        <w:t>’</w:t>
      </w:r>
      <w:r w:rsidRPr="00B2525C">
        <w:rPr>
          <w:rFonts w:cs="Arial"/>
        </w:rPr>
        <w:t xml:space="preserve"> is one requiring admission to hospital (and no death within 30 days). ‘Other injury’ requires medical treatment, but no hospitalisation, which could include </w:t>
      </w:r>
      <w:r w:rsidR="00671084" w:rsidRPr="00B2525C">
        <w:rPr>
          <w:rFonts w:cs="Arial"/>
        </w:rPr>
        <w:t xml:space="preserve">for example </w:t>
      </w:r>
      <w:r w:rsidRPr="00B2525C">
        <w:rPr>
          <w:rFonts w:cs="Arial"/>
        </w:rPr>
        <w:t xml:space="preserve">bruising, soreness, pain, unconsciousness or a cut. </w:t>
      </w:r>
    </w:p>
    <w:p w14:paraId="7654D7EE" w14:textId="078FCC30" w:rsidR="002903BD" w:rsidRDefault="002903BD" w:rsidP="002903BD">
      <w:pPr>
        <w:rPr>
          <w:rFonts w:cs="Arial"/>
        </w:rPr>
      </w:pPr>
    </w:p>
    <w:p w14:paraId="58628354" w14:textId="3F1DC76B" w:rsidR="00A41E25" w:rsidRPr="0003084E" w:rsidRDefault="00A41E25" w:rsidP="0003084E">
      <w:pPr>
        <w:pStyle w:val="Caption"/>
        <w:rPr>
          <w:i w:val="0"/>
          <w:color w:val="000000" w:themeColor="text1"/>
          <w:sz w:val="22"/>
          <w:szCs w:val="22"/>
        </w:rPr>
      </w:pPr>
      <w:r w:rsidRPr="0003084E">
        <w:rPr>
          <w:b/>
          <w:i w:val="0"/>
          <w:color w:val="000000" w:themeColor="text1"/>
          <w:sz w:val="22"/>
          <w:szCs w:val="22"/>
        </w:rPr>
        <w:t>Figure</w:t>
      </w:r>
      <w:r w:rsidR="007C408E" w:rsidRPr="0003084E">
        <w:rPr>
          <w:b/>
          <w:i w:val="0"/>
          <w:color w:val="000000" w:themeColor="text1"/>
          <w:sz w:val="22"/>
          <w:szCs w:val="22"/>
        </w:rPr>
        <w:t xml:space="preserve"> 68</w:t>
      </w:r>
      <w:r w:rsidR="0003084E">
        <w:rPr>
          <w:i w:val="0"/>
          <w:color w:val="000000" w:themeColor="text1"/>
          <w:sz w:val="22"/>
          <w:szCs w:val="22"/>
        </w:rPr>
        <w:t xml:space="preserve">. </w:t>
      </w:r>
      <w:r w:rsidRPr="0003084E">
        <w:rPr>
          <w:i w:val="0"/>
          <w:color w:val="000000" w:themeColor="text1"/>
          <w:sz w:val="22"/>
          <w:szCs w:val="22"/>
        </w:rPr>
        <w:t>Road crashes from 2014 to 2019</w:t>
      </w:r>
    </w:p>
    <w:p w14:paraId="30EFE294" w14:textId="7DD41769" w:rsidR="00A41E25" w:rsidRDefault="00A41E25" w:rsidP="002903BD">
      <w:pPr>
        <w:rPr>
          <w:rFonts w:cs="Arial"/>
        </w:rPr>
      </w:pPr>
    </w:p>
    <w:p w14:paraId="4C931A91" w14:textId="05811ADD" w:rsidR="00A41E25" w:rsidRDefault="00A41E25" w:rsidP="002903BD">
      <w:pPr>
        <w:rPr>
          <w:rFonts w:cs="Arial"/>
        </w:rPr>
      </w:pPr>
      <w:r>
        <w:rPr>
          <w:noProof/>
        </w:rPr>
        <w:drawing>
          <wp:inline distT="0" distB="0" distL="0" distR="0" wp14:anchorId="44F03E5E" wp14:editId="4F956AD3">
            <wp:extent cx="5731510" cy="5731510"/>
            <wp:effectExtent l="0" t="0" r="254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8 Road Accidents.png"/>
                    <pic:cNvPicPr/>
                  </pic:nvPicPr>
                  <pic:blipFill>
                    <a:blip r:embed="rId10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BCF1FCB" w14:textId="6A23B422" w:rsidR="00A41E25" w:rsidRDefault="0003084E" w:rsidP="002903BD">
      <w:pPr>
        <w:rPr>
          <w:rFonts w:cs="Arial"/>
        </w:rPr>
      </w:pPr>
      <w:r w:rsidRPr="00B92E67">
        <w:rPr>
          <w:rFonts w:eastAsia="Times New Roman" w:cs="Arial"/>
          <w:i/>
          <w:sz w:val="20"/>
          <w:szCs w:val="20"/>
        </w:rPr>
        <w:t xml:space="preserve">Source: VicRoads at </w:t>
      </w:r>
      <w:hyperlink r:id="rId101" w:history="1">
        <w:r w:rsidRPr="00B92E67">
          <w:rPr>
            <w:rStyle w:val="Hyperlink"/>
            <w:rFonts w:eastAsia="Times New Roman" w:cs="Arial"/>
            <w:i/>
            <w:sz w:val="20"/>
            <w:szCs w:val="20"/>
          </w:rPr>
          <w:t>Crash Stats</w:t>
        </w:r>
      </w:hyperlink>
    </w:p>
    <w:p w14:paraId="660BFAA1" w14:textId="749ADA1C" w:rsidR="00A41E25" w:rsidRDefault="00A41E25" w:rsidP="002903BD">
      <w:pPr>
        <w:rPr>
          <w:rFonts w:cs="Arial"/>
        </w:rPr>
      </w:pPr>
    </w:p>
    <w:p w14:paraId="2FECC5F7" w14:textId="77777777" w:rsidR="002903BD" w:rsidRPr="00B2525C" w:rsidRDefault="002903BD" w:rsidP="002903BD">
      <w:pPr>
        <w:rPr>
          <w:rFonts w:cs="Arial"/>
        </w:rPr>
      </w:pPr>
    </w:p>
    <w:p w14:paraId="0DBC26EC" w14:textId="77777777" w:rsidR="00A97269" w:rsidRDefault="00B92E67" w:rsidP="00A97269">
      <w:pPr>
        <w:pStyle w:val="Heading2"/>
        <w:rPr>
          <w:rFonts w:cs="Arial"/>
        </w:rPr>
      </w:pPr>
      <w:r>
        <w:rPr>
          <w:rFonts w:cs="Arial"/>
        </w:rPr>
        <w:br w:type="page"/>
      </w:r>
      <w:r w:rsidR="00A97269" w:rsidRPr="00B2525C">
        <w:rPr>
          <w:rFonts w:cs="Arial"/>
        </w:rPr>
        <w:lastRenderedPageBreak/>
        <w:t>Deaths</w:t>
      </w:r>
    </w:p>
    <w:p w14:paraId="062DE00A" w14:textId="77777777" w:rsidR="00A97269" w:rsidRPr="00180A7B" w:rsidRDefault="00A97269" w:rsidP="00A97269"/>
    <w:p w14:paraId="28F88ADE" w14:textId="77777777" w:rsidR="00A97269" w:rsidRPr="00B2525C" w:rsidRDefault="00A97269" w:rsidP="00A97269">
      <w:pPr>
        <w:rPr>
          <w:rFonts w:cs="Arial"/>
        </w:rPr>
      </w:pPr>
      <w:r w:rsidRPr="00B2525C">
        <w:rPr>
          <w:rFonts w:cs="Arial"/>
        </w:rPr>
        <w:t xml:space="preserve">As well as differences by sex, the leading causes of death also vary by age. In Australia, chronic diseases feature more prominently among people aged 45 and over, while the leading causes of death among people aged 1–44 are external causes, such as accidents and suicides (AIHW, 2021). </w:t>
      </w:r>
    </w:p>
    <w:p w14:paraId="61F43911" w14:textId="77777777" w:rsidR="00A97269" w:rsidRPr="00B2525C" w:rsidRDefault="00A97269" w:rsidP="00A97269">
      <w:pPr>
        <w:rPr>
          <w:rFonts w:cs="Arial"/>
        </w:rPr>
      </w:pPr>
    </w:p>
    <w:p w14:paraId="713E39E2" w14:textId="16A1355D" w:rsidR="00A97269" w:rsidRPr="00B2525C" w:rsidRDefault="00A97269" w:rsidP="00A97269">
      <w:pPr>
        <w:rPr>
          <w:rFonts w:cs="Arial"/>
        </w:rPr>
      </w:pPr>
      <w:r w:rsidRPr="00CA2B45">
        <w:rPr>
          <w:rFonts w:cs="Arial"/>
          <w:b/>
        </w:rPr>
        <w:t>Table</w:t>
      </w:r>
      <w:r>
        <w:rPr>
          <w:rFonts w:cs="Arial"/>
        </w:rPr>
        <w:t>:</w:t>
      </w:r>
      <w:r w:rsidR="00283EAE">
        <w:rPr>
          <w:rFonts w:cs="Arial"/>
        </w:rPr>
        <w:t xml:space="preserve"> </w:t>
      </w:r>
      <w:r w:rsidR="0003084E">
        <w:rPr>
          <w:rFonts w:cs="Arial"/>
          <w:b/>
        </w:rPr>
        <w:t>11</w:t>
      </w:r>
      <w:r>
        <w:rPr>
          <w:rFonts w:cs="Arial"/>
        </w:rPr>
        <w:t xml:space="preserve"> </w:t>
      </w:r>
      <w:r w:rsidRPr="00B2525C">
        <w:rPr>
          <w:rFonts w:cs="Arial"/>
        </w:rPr>
        <w:t>Australian Leading cause of death by ag group, 2016-2018</w:t>
      </w:r>
    </w:p>
    <w:p w14:paraId="7B3F84D7" w14:textId="77777777" w:rsidR="00A97269" w:rsidRPr="00B2525C" w:rsidRDefault="00A97269" w:rsidP="00A97269">
      <w:pPr>
        <w:rPr>
          <w:rFonts w:cs="Arial"/>
        </w:rPr>
      </w:pPr>
      <w:r w:rsidRPr="00B2525C">
        <w:rPr>
          <w:rFonts w:cs="Arial"/>
          <w:noProof/>
        </w:rPr>
        <w:drawing>
          <wp:inline distT="0" distB="0" distL="0" distR="0" wp14:anchorId="06282AF1" wp14:editId="4E042263">
            <wp:extent cx="6002655" cy="4414344"/>
            <wp:effectExtent l="0" t="0" r="0" b="5715"/>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029498" cy="4434084"/>
                    </a:xfrm>
                    <a:prstGeom prst="rect">
                      <a:avLst/>
                    </a:prstGeom>
                  </pic:spPr>
                </pic:pic>
              </a:graphicData>
            </a:graphic>
          </wp:inline>
        </w:drawing>
      </w:r>
    </w:p>
    <w:p w14:paraId="4ED8221E" w14:textId="77777777" w:rsidR="00A97269" w:rsidRPr="00B92E67" w:rsidRDefault="00A97269" w:rsidP="00A97269">
      <w:pPr>
        <w:rPr>
          <w:rFonts w:cs="Arial"/>
          <w:i/>
          <w:sz w:val="20"/>
          <w:szCs w:val="20"/>
        </w:rPr>
      </w:pPr>
      <w:r w:rsidRPr="00B92E67">
        <w:rPr>
          <w:rFonts w:cs="Arial"/>
          <w:i/>
          <w:sz w:val="20"/>
          <w:szCs w:val="20"/>
        </w:rPr>
        <w:t xml:space="preserve">Source: </w:t>
      </w:r>
      <w:hyperlink r:id="rId103">
        <w:r w:rsidRPr="00B92E67">
          <w:rPr>
            <w:rFonts w:cs="Arial"/>
            <w:i/>
            <w:sz w:val="20"/>
            <w:szCs w:val="20"/>
          </w:rPr>
          <w:t>https://www.aihw.gov.au/reports/life-expectancy-death/deaths-in-australia/contents/leading-causes-of-death</w:t>
        </w:r>
      </w:hyperlink>
    </w:p>
    <w:p w14:paraId="54A1B609" w14:textId="77777777" w:rsidR="00A97269" w:rsidRPr="00B2525C" w:rsidRDefault="00A97269" w:rsidP="00A97269">
      <w:pPr>
        <w:rPr>
          <w:rFonts w:cs="Arial"/>
        </w:rPr>
      </w:pPr>
    </w:p>
    <w:p w14:paraId="5AD148A4" w14:textId="77777777" w:rsidR="00A97269" w:rsidRDefault="00A97269" w:rsidP="00A97269">
      <w:pPr>
        <w:pStyle w:val="Heading3"/>
        <w:rPr>
          <w:rFonts w:cs="Arial"/>
        </w:rPr>
      </w:pPr>
      <w:r>
        <w:rPr>
          <w:rFonts w:cs="Arial"/>
        </w:rPr>
        <w:br w:type="page"/>
      </w:r>
    </w:p>
    <w:p w14:paraId="29DC9F76" w14:textId="77777777" w:rsidR="00A97269" w:rsidRPr="00B2525C" w:rsidRDefault="00A97269" w:rsidP="00A97269">
      <w:pPr>
        <w:pStyle w:val="Heading3"/>
        <w:rPr>
          <w:rFonts w:cs="Arial"/>
        </w:rPr>
      </w:pPr>
      <w:r w:rsidRPr="00B2525C">
        <w:rPr>
          <w:rFonts w:cs="Arial"/>
        </w:rPr>
        <w:lastRenderedPageBreak/>
        <w:t>Causes of death – all ages</w:t>
      </w:r>
    </w:p>
    <w:p w14:paraId="0FDE2A37" w14:textId="77777777" w:rsidR="00A97269" w:rsidRDefault="00A97269" w:rsidP="00A97269">
      <w:pPr>
        <w:rPr>
          <w:rFonts w:cs="Arial"/>
        </w:rPr>
      </w:pPr>
      <w:r w:rsidRPr="00B2525C">
        <w:rPr>
          <w:rFonts w:cs="Arial"/>
        </w:rPr>
        <w:t>The most common cause of death for Moonee Valley in 2018 was coronary heart disease (12.8 per cent of all cases), responsible for 489 deaths. Dementia including Alzheimer’s disease was second leading cause of death with 295 cases.</w:t>
      </w:r>
    </w:p>
    <w:p w14:paraId="59064A3C" w14:textId="77777777" w:rsidR="00A97269" w:rsidRDefault="00A97269" w:rsidP="00A97269">
      <w:pPr>
        <w:rPr>
          <w:rFonts w:cs="Arial"/>
        </w:rPr>
      </w:pPr>
    </w:p>
    <w:p w14:paraId="615AB9DC" w14:textId="3B8CFFAC" w:rsidR="00A97269" w:rsidRDefault="00A97269" w:rsidP="00A97269">
      <w:pPr>
        <w:rPr>
          <w:rFonts w:cs="Arial"/>
        </w:rPr>
      </w:pPr>
      <w:r w:rsidRPr="00CA2B45">
        <w:rPr>
          <w:rFonts w:cs="Arial"/>
          <w:b/>
        </w:rPr>
        <w:t>Table</w:t>
      </w:r>
      <w:r w:rsidR="00283EAE">
        <w:rPr>
          <w:rFonts w:cs="Arial"/>
          <w:b/>
        </w:rPr>
        <w:t xml:space="preserve"> 1</w:t>
      </w:r>
      <w:r w:rsidR="0003084E">
        <w:rPr>
          <w:rFonts w:cs="Arial"/>
          <w:b/>
        </w:rPr>
        <w:t>2</w:t>
      </w:r>
      <w:r w:rsidRPr="00CA2B45">
        <w:rPr>
          <w:rFonts w:cs="Arial"/>
        </w:rPr>
        <w:t>:</w:t>
      </w:r>
      <w:r w:rsidRPr="00CA2B45">
        <w:rPr>
          <w:rFonts w:eastAsia="Arial" w:cs="Arial"/>
          <w:color w:val="111111"/>
        </w:rPr>
        <w:t xml:space="preserve"> Top ten causes of death in Moonee Valley, 2018</w:t>
      </w:r>
      <w:r w:rsidRPr="00CA2B45">
        <w:rPr>
          <w:rFonts w:cs="Arial"/>
        </w:rPr>
        <w:t xml:space="preserve"> </w:t>
      </w:r>
    </w:p>
    <w:p w14:paraId="7099137F" w14:textId="77777777" w:rsidR="00A97269" w:rsidRPr="00CA2B45" w:rsidRDefault="00A97269" w:rsidP="00A97269">
      <w:pPr>
        <w:rPr>
          <w:rFonts w:cs="Arial"/>
        </w:rPr>
      </w:pPr>
    </w:p>
    <w:tbl>
      <w:tblPr>
        <w:tblW w:w="7823" w:type="dxa"/>
        <w:jc w:val="center"/>
        <w:tblLayout w:type="fixed"/>
        <w:tblLook w:val="0420" w:firstRow="1" w:lastRow="0" w:firstColumn="0" w:lastColumn="0" w:noHBand="0" w:noVBand="1"/>
      </w:tblPr>
      <w:tblGrid>
        <w:gridCol w:w="4201"/>
        <w:gridCol w:w="1108"/>
        <w:gridCol w:w="2514"/>
      </w:tblGrid>
      <w:tr w:rsidR="00A97269" w:rsidRPr="00B2525C" w14:paraId="07AA4DA1" w14:textId="77777777" w:rsidTr="002077B5">
        <w:trPr>
          <w:cantSplit/>
          <w:tblHeader/>
          <w:jc w:val="center"/>
        </w:trPr>
        <w:tc>
          <w:tcPr>
            <w:tcW w:w="4201" w:type="dxa"/>
            <w:tcBorders>
              <w:top w:val="single" w:sz="4" w:space="0" w:color="auto"/>
            </w:tcBorders>
            <w:shd w:val="clear" w:color="auto" w:fill="FFFFFF"/>
            <w:tcMar>
              <w:top w:w="0" w:type="dxa"/>
              <w:left w:w="0" w:type="dxa"/>
              <w:bottom w:w="0" w:type="dxa"/>
              <w:right w:w="0" w:type="dxa"/>
            </w:tcMar>
            <w:vAlign w:val="center"/>
          </w:tcPr>
          <w:p w14:paraId="3B8DE287" w14:textId="77777777" w:rsidR="00A97269" w:rsidRPr="00B2525C" w:rsidRDefault="00A97269" w:rsidP="002077B5">
            <w:pPr>
              <w:spacing w:before="40" w:after="40" w:line="276" w:lineRule="auto"/>
              <w:ind w:left="100" w:right="100"/>
              <w:rPr>
                <w:rFonts w:cs="Arial"/>
              </w:rPr>
            </w:pPr>
            <w:r w:rsidRPr="00B2525C">
              <w:rPr>
                <w:rFonts w:eastAsia="Arial" w:cs="Arial"/>
                <w:b/>
                <w:color w:val="111111"/>
              </w:rPr>
              <w:t>Cause</w:t>
            </w:r>
          </w:p>
        </w:tc>
        <w:tc>
          <w:tcPr>
            <w:tcW w:w="1108" w:type="dxa"/>
            <w:tcBorders>
              <w:top w:val="single" w:sz="4" w:space="0" w:color="auto"/>
            </w:tcBorders>
            <w:shd w:val="clear" w:color="auto" w:fill="FFFFFF"/>
            <w:tcMar>
              <w:top w:w="0" w:type="dxa"/>
              <w:left w:w="0" w:type="dxa"/>
              <w:bottom w:w="0" w:type="dxa"/>
              <w:right w:w="0" w:type="dxa"/>
            </w:tcMar>
            <w:vAlign w:val="center"/>
          </w:tcPr>
          <w:p w14:paraId="4D382464" w14:textId="77777777" w:rsidR="00A97269" w:rsidRPr="00B2525C" w:rsidRDefault="00A97269" w:rsidP="002077B5">
            <w:pPr>
              <w:spacing w:before="40" w:after="40" w:line="276" w:lineRule="auto"/>
              <w:ind w:left="100" w:right="100"/>
              <w:jc w:val="center"/>
              <w:rPr>
                <w:rFonts w:cs="Arial"/>
              </w:rPr>
            </w:pPr>
            <w:r w:rsidRPr="00B2525C">
              <w:rPr>
                <w:rFonts w:eastAsia="Arial" w:cs="Arial"/>
                <w:b/>
                <w:color w:val="111111"/>
              </w:rPr>
              <w:t>Deaths</w:t>
            </w:r>
          </w:p>
        </w:tc>
        <w:tc>
          <w:tcPr>
            <w:tcW w:w="2514" w:type="dxa"/>
            <w:tcBorders>
              <w:top w:val="single" w:sz="4" w:space="0" w:color="auto"/>
            </w:tcBorders>
            <w:shd w:val="clear" w:color="auto" w:fill="FFFFFF"/>
            <w:tcMar>
              <w:top w:w="0" w:type="dxa"/>
              <w:left w:w="0" w:type="dxa"/>
              <w:bottom w:w="0" w:type="dxa"/>
              <w:right w:w="0" w:type="dxa"/>
            </w:tcMar>
            <w:vAlign w:val="center"/>
          </w:tcPr>
          <w:p w14:paraId="7DD8F7E0" w14:textId="77777777" w:rsidR="00A97269" w:rsidRPr="00B2525C" w:rsidRDefault="00A97269" w:rsidP="002077B5">
            <w:pPr>
              <w:spacing w:before="40" w:after="40" w:line="276" w:lineRule="auto"/>
              <w:ind w:left="100" w:right="100"/>
              <w:jc w:val="center"/>
              <w:rPr>
                <w:rFonts w:cs="Arial"/>
              </w:rPr>
            </w:pPr>
            <w:r>
              <w:rPr>
                <w:rFonts w:eastAsia="Arial" w:cs="Arial"/>
                <w:b/>
                <w:color w:val="111111"/>
              </w:rPr>
              <w:t>%</w:t>
            </w:r>
            <w:r w:rsidRPr="00B2525C">
              <w:rPr>
                <w:rFonts w:eastAsia="Arial" w:cs="Arial"/>
                <w:b/>
                <w:color w:val="111111"/>
              </w:rPr>
              <w:t xml:space="preserve"> of all causes</w:t>
            </w:r>
          </w:p>
        </w:tc>
      </w:tr>
      <w:tr w:rsidR="00A97269" w:rsidRPr="00B2525C" w14:paraId="03C476E6" w14:textId="77777777" w:rsidTr="002077B5">
        <w:trPr>
          <w:cantSplit/>
          <w:jc w:val="center"/>
        </w:trPr>
        <w:tc>
          <w:tcPr>
            <w:tcW w:w="4201" w:type="dxa"/>
            <w:shd w:val="clear" w:color="auto" w:fill="FFFFFF"/>
            <w:tcMar>
              <w:top w:w="0" w:type="dxa"/>
              <w:left w:w="0" w:type="dxa"/>
              <w:bottom w:w="0" w:type="dxa"/>
              <w:right w:w="0" w:type="dxa"/>
            </w:tcMar>
            <w:vAlign w:val="center"/>
          </w:tcPr>
          <w:p w14:paraId="2B70D9B4"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Coronary heart disease</w:t>
            </w:r>
          </w:p>
        </w:tc>
        <w:tc>
          <w:tcPr>
            <w:tcW w:w="1108" w:type="dxa"/>
            <w:shd w:val="clear" w:color="auto" w:fill="FFFFFF"/>
            <w:tcMar>
              <w:top w:w="0" w:type="dxa"/>
              <w:left w:w="0" w:type="dxa"/>
              <w:bottom w:w="0" w:type="dxa"/>
              <w:right w:w="0" w:type="dxa"/>
            </w:tcMar>
            <w:vAlign w:val="center"/>
          </w:tcPr>
          <w:p w14:paraId="235C9B6B"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489</w:t>
            </w:r>
          </w:p>
        </w:tc>
        <w:tc>
          <w:tcPr>
            <w:tcW w:w="2514" w:type="dxa"/>
            <w:shd w:val="clear" w:color="auto" w:fill="FFFFFF"/>
            <w:tcMar>
              <w:top w:w="0" w:type="dxa"/>
              <w:left w:w="0" w:type="dxa"/>
              <w:bottom w:w="0" w:type="dxa"/>
              <w:right w:w="0" w:type="dxa"/>
            </w:tcMar>
            <w:vAlign w:val="center"/>
          </w:tcPr>
          <w:p w14:paraId="32C32739"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12.8</w:t>
            </w:r>
          </w:p>
        </w:tc>
      </w:tr>
      <w:tr w:rsidR="00A97269" w:rsidRPr="00B2525C" w14:paraId="1C5A0B99" w14:textId="77777777" w:rsidTr="002077B5">
        <w:trPr>
          <w:cantSplit/>
          <w:jc w:val="center"/>
        </w:trPr>
        <w:tc>
          <w:tcPr>
            <w:tcW w:w="4201" w:type="dxa"/>
            <w:shd w:val="clear" w:color="auto" w:fill="FFFFFF"/>
            <w:tcMar>
              <w:top w:w="0" w:type="dxa"/>
              <w:left w:w="0" w:type="dxa"/>
              <w:bottom w:w="0" w:type="dxa"/>
              <w:right w:w="0" w:type="dxa"/>
            </w:tcMar>
            <w:vAlign w:val="center"/>
          </w:tcPr>
          <w:p w14:paraId="23120A15"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Dementia including Alzheimer disease</w:t>
            </w:r>
          </w:p>
        </w:tc>
        <w:tc>
          <w:tcPr>
            <w:tcW w:w="1108" w:type="dxa"/>
            <w:shd w:val="clear" w:color="auto" w:fill="FFFFFF"/>
            <w:tcMar>
              <w:top w:w="0" w:type="dxa"/>
              <w:left w:w="0" w:type="dxa"/>
              <w:bottom w:w="0" w:type="dxa"/>
              <w:right w:w="0" w:type="dxa"/>
            </w:tcMar>
            <w:vAlign w:val="center"/>
          </w:tcPr>
          <w:p w14:paraId="061987C5"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295</w:t>
            </w:r>
          </w:p>
        </w:tc>
        <w:tc>
          <w:tcPr>
            <w:tcW w:w="2514" w:type="dxa"/>
            <w:shd w:val="clear" w:color="auto" w:fill="FFFFFF"/>
            <w:tcMar>
              <w:top w:w="0" w:type="dxa"/>
              <w:left w:w="0" w:type="dxa"/>
              <w:bottom w:w="0" w:type="dxa"/>
              <w:right w:w="0" w:type="dxa"/>
            </w:tcMar>
            <w:vAlign w:val="center"/>
          </w:tcPr>
          <w:p w14:paraId="1C7A56A0"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7.7</w:t>
            </w:r>
          </w:p>
        </w:tc>
      </w:tr>
      <w:tr w:rsidR="00A97269" w:rsidRPr="00B2525C" w14:paraId="320FD7FD" w14:textId="77777777" w:rsidTr="002077B5">
        <w:trPr>
          <w:cantSplit/>
          <w:jc w:val="center"/>
        </w:trPr>
        <w:tc>
          <w:tcPr>
            <w:tcW w:w="4201" w:type="dxa"/>
            <w:shd w:val="clear" w:color="auto" w:fill="FFFFFF"/>
            <w:tcMar>
              <w:top w:w="0" w:type="dxa"/>
              <w:left w:w="0" w:type="dxa"/>
              <w:bottom w:w="0" w:type="dxa"/>
              <w:right w:w="0" w:type="dxa"/>
            </w:tcMar>
            <w:vAlign w:val="center"/>
          </w:tcPr>
          <w:p w14:paraId="457BAD65"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Cerebrovascular disease</w:t>
            </w:r>
          </w:p>
        </w:tc>
        <w:tc>
          <w:tcPr>
            <w:tcW w:w="1108" w:type="dxa"/>
            <w:shd w:val="clear" w:color="auto" w:fill="FFFFFF"/>
            <w:tcMar>
              <w:top w:w="0" w:type="dxa"/>
              <w:left w:w="0" w:type="dxa"/>
              <w:bottom w:w="0" w:type="dxa"/>
              <w:right w:w="0" w:type="dxa"/>
            </w:tcMar>
            <w:vAlign w:val="center"/>
          </w:tcPr>
          <w:p w14:paraId="34B7DA1A"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241</w:t>
            </w:r>
          </w:p>
        </w:tc>
        <w:tc>
          <w:tcPr>
            <w:tcW w:w="2514" w:type="dxa"/>
            <w:shd w:val="clear" w:color="auto" w:fill="FFFFFF"/>
            <w:tcMar>
              <w:top w:w="0" w:type="dxa"/>
              <w:left w:w="0" w:type="dxa"/>
              <w:bottom w:w="0" w:type="dxa"/>
              <w:right w:w="0" w:type="dxa"/>
            </w:tcMar>
            <w:vAlign w:val="center"/>
          </w:tcPr>
          <w:p w14:paraId="0C36EC31"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6.3</w:t>
            </w:r>
          </w:p>
        </w:tc>
      </w:tr>
      <w:tr w:rsidR="00A97269" w:rsidRPr="00B2525C" w14:paraId="52DF2BF3" w14:textId="77777777" w:rsidTr="002077B5">
        <w:trPr>
          <w:cantSplit/>
          <w:jc w:val="center"/>
        </w:trPr>
        <w:tc>
          <w:tcPr>
            <w:tcW w:w="4201" w:type="dxa"/>
            <w:shd w:val="clear" w:color="auto" w:fill="FFFFFF"/>
            <w:tcMar>
              <w:top w:w="0" w:type="dxa"/>
              <w:left w:w="0" w:type="dxa"/>
              <w:bottom w:w="0" w:type="dxa"/>
              <w:right w:w="0" w:type="dxa"/>
            </w:tcMar>
            <w:vAlign w:val="center"/>
          </w:tcPr>
          <w:p w14:paraId="24DDC3A1"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Lung cancer</w:t>
            </w:r>
          </w:p>
        </w:tc>
        <w:tc>
          <w:tcPr>
            <w:tcW w:w="1108" w:type="dxa"/>
            <w:shd w:val="clear" w:color="auto" w:fill="FFFFFF"/>
            <w:tcMar>
              <w:top w:w="0" w:type="dxa"/>
              <w:left w:w="0" w:type="dxa"/>
              <w:bottom w:w="0" w:type="dxa"/>
              <w:right w:w="0" w:type="dxa"/>
            </w:tcMar>
            <w:vAlign w:val="center"/>
          </w:tcPr>
          <w:p w14:paraId="6AA6AC3C"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173</w:t>
            </w:r>
          </w:p>
        </w:tc>
        <w:tc>
          <w:tcPr>
            <w:tcW w:w="2514" w:type="dxa"/>
            <w:shd w:val="clear" w:color="auto" w:fill="FFFFFF"/>
            <w:tcMar>
              <w:top w:w="0" w:type="dxa"/>
              <w:left w:w="0" w:type="dxa"/>
              <w:bottom w:w="0" w:type="dxa"/>
              <w:right w:w="0" w:type="dxa"/>
            </w:tcMar>
            <w:vAlign w:val="center"/>
          </w:tcPr>
          <w:p w14:paraId="172A7535"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4.5</w:t>
            </w:r>
          </w:p>
        </w:tc>
      </w:tr>
      <w:tr w:rsidR="00A97269" w:rsidRPr="00B2525C" w14:paraId="53B62CFE" w14:textId="77777777" w:rsidTr="002077B5">
        <w:trPr>
          <w:cantSplit/>
          <w:jc w:val="center"/>
        </w:trPr>
        <w:tc>
          <w:tcPr>
            <w:tcW w:w="4201" w:type="dxa"/>
            <w:shd w:val="clear" w:color="auto" w:fill="FFFFFF"/>
            <w:tcMar>
              <w:top w:w="0" w:type="dxa"/>
              <w:left w:w="0" w:type="dxa"/>
              <w:bottom w:w="0" w:type="dxa"/>
              <w:right w:w="0" w:type="dxa"/>
            </w:tcMar>
            <w:vAlign w:val="center"/>
          </w:tcPr>
          <w:p w14:paraId="56A5DDDF"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Chronic obstructive pulmonary disease</w:t>
            </w:r>
          </w:p>
        </w:tc>
        <w:tc>
          <w:tcPr>
            <w:tcW w:w="1108" w:type="dxa"/>
            <w:shd w:val="clear" w:color="auto" w:fill="FFFFFF"/>
            <w:tcMar>
              <w:top w:w="0" w:type="dxa"/>
              <w:left w:w="0" w:type="dxa"/>
              <w:bottom w:w="0" w:type="dxa"/>
              <w:right w:w="0" w:type="dxa"/>
            </w:tcMar>
            <w:vAlign w:val="center"/>
          </w:tcPr>
          <w:p w14:paraId="343D90A0"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146</w:t>
            </w:r>
          </w:p>
        </w:tc>
        <w:tc>
          <w:tcPr>
            <w:tcW w:w="2514" w:type="dxa"/>
            <w:shd w:val="clear" w:color="auto" w:fill="FFFFFF"/>
            <w:tcMar>
              <w:top w:w="0" w:type="dxa"/>
              <w:left w:w="0" w:type="dxa"/>
              <w:bottom w:w="0" w:type="dxa"/>
              <w:right w:w="0" w:type="dxa"/>
            </w:tcMar>
            <w:vAlign w:val="center"/>
          </w:tcPr>
          <w:p w14:paraId="38E21115"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3.8</w:t>
            </w:r>
          </w:p>
        </w:tc>
      </w:tr>
      <w:tr w:rsidR="00A97269" w:rsidRPr="00B2525C" w14:paraId="7D58C83F" w14:textId="77777777" w:rsidTr="002077B5">
        <w:trPr>
          <w:cantSplit/>
          <w:jc w:val="center"/>
        </w:trPr>
        <w:tc>
          <w:tcPr>
            <w:tcW w:w="4201" w:type="dxa"/>
            <w:shd w:val="clear" w:color="auto" w:fill="FFFFFF"/>
            <w:tcMar>
              <w:top w:w="0" w:type="dxa"/>
              <w:left w:w="0" w:type="dxa"/>
              <w:bottom w:w="0" w:type="dxa"/>
              <w:right w:w="0" w:type="dxa"/>
            </w:tcMar>
            <w:vAlign w:val="center"/>
          </w:tcPr>
          <w:p w14:paraId="0EE8E85D"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Colorectal cancer</w:t>
            </w:r>
          </w:p>
        </w:tc>
        <w:tc>
          <w:tcPr>
            <w:tcW w:w="1108" w:type="dxa"/>
            <w:shd w:val="clear" w:color="auto" w:fill="FFFFFF"/>
            <w:tcMar>
              <w:top w:w="0" w:type="dxa"/>
              <w:left w:w="0" w:type="dxa"/>
              <w:bottom w:w="0" w:type="dxa"/>
              <w:right w:w="0" w:type="dxa"/>
            </w:tcMar>
            <w:vAlign w:val="center"/>
          </w:tcPr>
          <w:p w14:paraId="1826F454"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145</w:t>
            </w:r>
          </w:p>
        </w:tc>
        <w:tc>
          <w:tcPr>
            <w:tcW w:w="2514" w:type="dxa"/>
            <w:shd w:val="clear" w:color="auto" w:fill="FFFFFF"/>
            <w:tcMar>
              <w:top w:w="0" w:type="dxa"/>
              <w:left w:w="0" w:type="dxa"/>
              <w:bottom w:w="0" w:type="dxa"/>
              <w:right w:w="0" w:type="dxa"/>
            </w:tcMar>
            <w:vAlign w:val="center"/>
          </w:tcPr>
          <w:p w14:paraId="29780B5D"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3.8</w:t>
            </w:r>
          </w:p>
        </w:tc>
      </w:tr>
      <w:tr w:rsidR="00A97269" w:rsidRPr="00B2525C" w14:paraId="5FAAAE5E" w14:textId="77777777" w:rsidTr="002077B5">
        <w:trPr>
          <w:cantSplit/>
          <w:jc w:val="center"/>
        </w:trPr>
        <w:tc>
          <w:tcPr>
            <w:tcW w:w="4201" w:type="dxa"/>
            <w:shd w:val="clear" w:color="auto" w:fill="FFFFFF"/>
            <w:tcMar>
              <w:top w:w="0" w:type="dxa"/>
              <w:left w:w="0" w:type="dxa"/>
              <w:bottom w:w="0" w:type="dxa"/>
              <w:right w:w="0" w:type="dxa"/>
            </w:tcMar>
            <w:vAlign w:val="center"/>
          </w:tcPr>
          <w:p w14:paraId="52071471"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Diabetes</w:t>
            </w:r>
          </w:p>
        </w:tc>
        <w:tc>
          <w:tcPr>
            <w:tcW w:w="1108" w:type="dxa"/>
            <w:shd w:val="clear" w:color="auto" w:fill="FFFFFF"/>
            <w:tcMar>
              <w:top w:w="0" w:type="dxa"/>
              <w:left w:w="0" w:type="dxa"/>
              <w:bottom w:w="0" w:type="dxa"/>
              <w:right w:w="0" w:type="dxa"/>
            </w:tcMar>
            <w:vAlign w:val="center"/>
          </w:tcPr>
          <w:p w14:paraId="74A8211E"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122</w:t>
            </w:r>
          </w:p>
        </w:tc>
        <w:tc>
          <w:tcPr>
            <w:tcW w:w="2514" w:type="dxa"/>
            <w:shd w:val="clear" w:color="auto" w:fill="FFFFFF"/>
            <w:tcMar>
              <w:top w:w="0" w:type="dxa"/>
              <w:left w:w="0" w:type="dxa"/>
              <w:bottom w:w="0" w:type="dxa"/>
              <w:right w:w="0" w:type="dxa"/>
            </w:tcMar>
            <w:vAlign w:val="center"/>
          </w:tcPr>
          <w:p w14:paraId="710B7594"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3.2</w:t>
            </w:r>
          </w:p>
        </w:tc>
      </w:tr>
      <w:tr w:rsidR="00A97269" w:rsidRPr="00B2525C" w14:paraId="5058846B" w14:textId="77777777" w:rsidTr="002077B5">
        <w:trPr>
          <w:cantSplit/>
          <w:jc w:val="center"/>
        </w:trPr>
        <w:tc>
          <w:tcPr>
            <w:tcW w:w="4201" w:type="dxa"/>
            <w:shd w:val="clear" w:color="auto" w:fill="FFFFFF"/>
            <w:tcMar>
              <w:top w:w="0" w:type="dxa"/>
              <w:left w:w="0" w:type="dxa"/>
              <w:bottom w:w="0" w:type="dxa"/>
              <w:right w:w="0" w:type="dxa"/>
            </w:tcMar>
            <w:vAlign w:val="center"/>
          </w:tcPr>
          <w:p w14:paraId="31F032E0"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Accidental falls</w:t>
            </w:r>
          </w:p>
        </w:tc>
        <w:tc>
          <w:tcPr>
            <w:tcW w:w="1108" w:type="dxa"/>
            <w:shd w:val="clear" w:color="auto" w:fill="FFFFFF"/>
            <w:tcMar>
              <w:top w:w="0" w:type="dxa"/>
              <w:left w:w="0" w:type="dxa"/>
              <w:bottom w:w="0" w:type="dxa"/>
              <w:right w:w="0" w:type="dxa"/>
            </w:tcMar>
            <w:vAlign w:val="center"/>
          </w:tcPr>
          <w:p w14:paraId="66DC9656"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118</w:t>
            </w:r>
          </w:p>
        </w:tc>
        <w:tc>
          <w:tcPr>
            <w:tcW w:w="2514" w:type="dxa"/>
            <w:shd w:val="clear" w:color="auto" w:fill="FFFFFF"/>
            <w:tcMar>
              <w:top w:w="0" w:type="dxa"/>
              <w:left w:w="0" w:type="dxa"/>
              <w:bottom w:w="0" w:type="dxa"/>
              <w:right w:w="0" w:type="dxa"/>
            </w:tcMar>
            <w:vAlign w:val="center"/>
          </w:tcPr>
          <w:p w14:paraId="37804EB7"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3.1</w:t>
            </w:r>
          </w:p>
        </w:tc>
      </w:tr>
      <w:tr w:rsidR="00A97269" w:rsidRPr="00B2525C" w14:paraId="006A4CAE" w14:textId="77777777" w:rsidTr="002077B5">
        <w:trPr>
          <w:cantSplit/>
          <w:jc w:val="center"/>
        </w:trPr>
        <w:tc>
          <w:tcPr>
            <w:tcW w:w="4201" w:type="dxa"/>
            <w:shd w:val="clear" w:color="auto" w:fill="FFFFFF"/>
            <w:tcMar>
              <w:top w:w="0" w:type="dxa"/>
              <w:left w:w="0" w:type="dxa"/>
              <w:bottom w:w="0" w:type="dxa"/>
              <w:right w:w="0" w:type="dxa"/>
            </w:tcMar>
            <w:vAlign w:val="center"/>
          </w:tcPr>
          <w:p w14:paraId="6EDCD0B7"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Influenza and pneumonia</w:t>
            </w:r>
          </w:p>
        </w:tc>
        <w:tc>
          <w:tcPr>
            <w:tcW w:w="1108" w:type="dxa"/>
            <w:shd w:val="clear" w:color="auto" w:fill="FFFFFF"/>
            <w:tcMar>
              <w:top w:w="0" w:type="dxa"/>
              <w:left w:w="0" w:type="dxa"/>
              <w:bottom w:w="0" w:type="dxa"/>
              <w:right w:w="0" w:type="dxa"/>
            </w:tcMar>
            <w:vAlign w:val="center"/>
          </w:tcPr>
          <w:p w14:paraId="283FE023"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83</w:t>
            </w:r>
          </w:p>
        </w:tc>
        <w:tc>
          <w:tcPr>
            <w:tcW w:w="2514" w:type="dxa"/>
            <w:shd w:val="clear" w:color="auto" w:fill="FFFFFF"/>
            <w:tcMar>
              <w:top w:w="0" w:type="dxa"/>
              <w:left w:w="0" w:type="dxa"/>
              <w:bottom w:w="0" w:type="dxa"/>
              <w:right w:w="0" w:type="dxa"/>
            </w:tcMar>
            <w:vAlign w:val="center"/>
          </w:tcPr>
          <w:p w14:paraId="358668AC"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2.2</w:t>
            </w:r>
          </w:p>
        </w:tc>
      </w:tr>
      <w:tr w:rsidR="00A97269" w:rsidRPr="00B2525C" w14:paraId="36EFAC7D" w14:textId="77777777" w:rsidTr="002077B5">
        <w:trPr>
          <w:cantSplit/>
          <w:jc w:val="center"/>
        </w:trPr>
        <w:tc>
          <w:tcPr>
            <w:tcW w:w="4201" w:type="dxa"/>
            <w:tcBorders>
              <w:bottom w:val="single" w:sz="4" w:space="0" w:color="auto"/>
            </w:tcBorders>
            <w:shd w:val="clear" w:color="auto" w:fill="FFFFFF"/>
            <w:tcMar>
              <w:top w:w="0" w:type="dxa"/>
              <w:left w:w="0" w:type="dxa"/>
              <w:bottom w:w="0" w:type="dxa"/>
              <w:right w:w="0" w:type="dxa"/>
            </w:tcMar>
            <w:vAlign w:val="center"/>
          </w:tcPr>
          <w:p w14:paraId="090C598D" w14:textId="77777777" w:rsidR="00A97269" w:rsidRPr="00B2525C" w:rsidRDefault="00A97269" w:rsidP="002077B5">
            <w:pPr>
              <w:spacing w:before="40" w:after="40" w:line="276" w:lineRule="auto"/>
              <w:ind w:left="100" w:right="100"/>
              <w:rPr>
                <w:rFonts w:cs="Arial"/>
              </w:rPr>
            </w:pPr>
            <w:r w:rsidRPr="00B2525C">
              <w:rPr>
                <w:rFonts w:eastAsia="Arial" w:cs="Arial"/>
                <w:color w:val="111111"/>
              </w:rPr>
              <w:t>Prostate cancer</w:t>
            </w:r>
          </w:p>
        </w:tc>
        <w:tc>
          <w:tcPr>
            <w:tcW w:w="1108" w:type="dxa"/>
            <w:tcBorders>
              <w:bottom w:val="single" w:sz="4" w:space="0" w:color="auto"/>
            </w:tcBorders>
            <w:shd w:val="clear" w:color="auto" w:fill="FFFFFF"/>
            <w:tcMar>
              <w:top w:w="0" w:type="dxa"/>
              <w:left w:w="0" w:type="dxa"/>
              <w:bottom w:w="0" w:type="dxa"/>
              <w:right w:w="0" w:type="dxa"/>
            </w:tcMar>
            <w:vAlign w:val="center"/>
          </w:tcPr>
          <w:p w14:paraId="39D41B64"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76</w:t>
            </w:r>
          </w:p>
        </w:tc>
        <w:tc>
          <w:tcPr>
            <w:tcW w:w="2514" w:type="dxa"/>
            <w:tcBorders>
              <w:bottom w:val="single" w:sz="4" w:space="0" w:color="auto"/>
            </w:tcBorders>
            <w:shd w:val="clear" w:color="auto" w:fill="FFFFFF"/>
            <w:tcMar>
              <w:top w:w="0" w:type="dxa"/>
              <w:left w:w="0" w:type="dxa"/>
              <w:bottom w:w="0" w:type="dxa"/>
              <w:right w:w="0" w:type="dxa"/>
            </w:tcMar>
            <w:vAlign w:val="center"/>
          </w:tcPr>
          <w:p w14:paraId="192B8DE8" w14:textId="77777777" w:rsidR="00A97269" w:rsidRPr="00B2525C" w:rsidRDefault="00A97269" w:rsidP="002077B5">
            <w:pPr>
              <w:spacing w:before="40" w:after="40" w:line="276" w:lineRule="auto"/>
              <w:ind w:left="100" w:right="100"/>
              <w:jc w:val="center"/>
              <w:rPr>
                <w:rFonts w:cs="Arial"/>
              </w:rPr>
            </w:pPr>
            <w:r w:rsidRPr="00B2525C">
              <w:rPr>
                <w:rFonts w:eastAsia="Arial" w:cs="Arial"/>
                <w:color w:val="111111"/>
              </w:rPr>
              <w:t>2.0</w:t>
            </w:r>
          </w:p>
        </w:tc>
      </w:tr>
      <w:tr w:rsidR="00A97269" w:rsidRPr="00B2525C" w14:paraId="36DB63D5" w14:textId="77777777" w:rsidTr="002077B5">
        <w:trPr>
          <w:cantSplit/>
          <w:jc w:val="center"/>
        </w:trPr>
        <w:tc>
          <w:tcPr>
            <w:tcW w:w="7823" w:type="dxa"/>
            <w:gridSpan w:val="3"/>
            <w:tcBorders>
              <w:top w:val="single" w:sz="4" w:space="0" w:color="auto"/>
            </w:tcBorders>
            <w:shd w:val="clear" w:color="auto" w:fill="FFFFFF"/>
            <w:tcMar>
              <w:top w:w="0" w:type="dxa"/>
              <w:left w:w="0" w:type="dxa"/>
              <w:bottom w:w="0" w:type="dxa"/>
              <w:right w:w="0" w:type="dxa"/>
            </w:tcMar>
            <w:vAlign w:val="center"/>
          </w:tcPr>
          <w:p w14:paraId="23B8FB86" w14:textId="77777777" w:rsidR="00A97269" w:rsidRPr="00180A7B" w:rsidRDefault="00A97269" w:rsidP="002077B5">
            <w:pPr>
              <w:spacing w:after="0" w:line="276" w:lineRule="auto"/>
              <w:rPr>
                <w:rFonts w:eastAsia="Arial" w:cs="Arial"/>
                <w:i/>
                <w:color w:val="000000"/>
                <w:sz w:val="20"/>
                <w:szCs w:val="20"/>
              </w:rPr>
            </w:pPr>
          </w:p>
          <w:p w14:paraId="0A95FB6E" w14:textId="77777777" w:rsidR="00A97269" w:rsidRPr="00180A7B" w:rsidRDefault="00A97269" w:rsidP="002077B5">
            <w:pPr>
              <w:spacing w:after="0" w:line="276" w:lineRule="auto"/>
              <w:rPr>
                <w:rFonts w:cs="Arial"/>
                <w:i/>
              </w:rPr>
            </w:pPr>
            <w:r w:rsidRPr="00180A7B">
              <w:rPr>
                <w:rFonts w:eastAsia="Arial" w:cs="Arial"/>
                <w:i/>
                <w:color w:val="000000"/>
                <w:sz w:val="20"/>
                <w:szCs w:val="20"/>
              </w:rPr>
              <w:t>Source: AIHW, Mortality over Regions and Time, 2020</w:t>
            </w:r>
          </w:p>
        </w:tc>
      </w:tr>
    </w:tbl>
    <w:p w14:paraId="1991B70D" w14:textId="77777777" w:rsidR="00A97269" w:rsidRDefault="00A97269" w:rsidP="00A97269">
      <w:pPr>
        <w:rPr>
          <w:rFonts w:cs="Arial"/>
        </w:rPr>
      </w:pPr>
      <w:r>
        <w:rPr>
          <w:rFonts w:cs="Arial"/>
        </w:rPr>
        <w:br w:type="page"/>
      </w:r>
    </w:p>
    <w:p w14:paraId="7683EA94" w14:textId="18402F89" w:rsidR="00F5144E" w:rsidRPr="00B2525C" w:rsidRDefault="00F5144E" w:rsidP="00F5144E">
      <w:pPr>
        <w:pStyle w:val="Heading2"/>
        <w:spacing w:before="240" w:after="120"/>
        <w:rPr>
          <w:rFonts w:cs="Arial"/>
          <w:color w:val="7030A0"/>
        </w:rPr>
      </w:pPr>
      <w:bookmarkStart w:id="63" w:name="_Toc58347296"/>
      <w:bookmarkEnd w:id="60"/>
      <w:r w:rsidRPr="00B2525C">
        <w:rPr>
          <w:rFonts w:cs="Arial"/>
          <w:color w:val="7030A0"/>
        </w:rPr>
        <w:lastRenderedPageBreak/>
        <w:t>Summary of COVID</w:t>
      </w:r>
      <w:r w:rsidRPr="00B2525C">
        <w:rPr>
          <w:rFonts w:cs="Arial"/>
          <w:color w:val="7030A0"/>
        </w:rPr>
        <w:noBreakHyphen/>
        <w:t xml:space="preserve">19 </w:t>
      </w:r>
      <w:r w:rsidR="00DA1062" w:rsidRPr="00B2525C">
        <w:rPr>
          <w:rFonts w:cs="Arial"/>
          <w:color w:val="7030A0"/>
        </w:rPr>
        <w:t xml:space="preserve">health and wellbeing </w:t>
      </w:r>
      <w:r w:rsidRPr="00B2525C">
        <w:rPr>
          <w:rFonts w:cs="Arial"/>
          <w:color w:val="7030A0"/>
        </w:rPr>
        <w:t>impacts</w:t>
      </w:r>
      <w:bookmarkEnd w:id="63"/>
    </w:p>
    <w:p w14:paraId="3DCB1AD7" w14:textId="77777777" w:rsidR="00180A7B" w:rsidRDefault="00180A7B" w:rsidP="00E31A19">
      <w:pPr>
        <w:rPr>
          <w:rFonts w:cs="Arial"/>
        </w:rPr>
      </w:pPr>
    </w:p>
    <w:p w14:paraId="33D17350" w14:textId="4B1F601F" w:rsidR="00F5144E" w:rsidRDefault="00F5144E" w:rsidP="00E31A19">
      <w:pPr>
        <w:rPr>
          <w:rFonts w:cs="Arial"/>
        </w:rPr>
      </w:pPr>
      <w:r w:rsidRPr="00BD3DEF">
        <w:rPr>
          <w:rFonts w:cs="Arial"/>
        </w:rPr>
        <w:t>This profile was developed as the world lives through the impacts of the COVID</w:t>
      </w:r>
      <w:r w:rsidRPr="00BD3DEF">
        <w:rPr>
          <w:rFonts w:cs="Arial"/>
        </w:rPr>
        <w:noBreakHyphen/>
        <w:t>19 pandemic. It is expected that the economic, health and social impacts of the COVID</w:t>
      </w:r>
      <w:r w:rsidRPr="00BD3DEF">
        <w:rPr>
          <w:rFonts w:cs="Arial"/>
        </w:rPr>
        <w:noBreakHyphen/>
        <w:t>19 pandemic will be felt by our community for decades to come, especially for those who are already vulnerable. The following provides a summary of the health and wellbeing impacts</w:t>
      </w:r>
      <w:r w:rsidR="00117219" w:rsidRPr="00BD3DEF">
        <w:rPr>
          <w:rFonts w:cs="Arial"/>
        </w:rPr>
        <w:t xml:space="preserve"> </w:t>
      </w:r>
      <w:r w:rsidRPr="00BD3DEF">
        <w:rPr>
          <w:rFonts w:cs="Arial"/>
        </w:rPr>
        <w:t xml:space="preserve">of the pandemic </w:t>
      </w:r>
      <w:r w:rsidR="00117219" w:rsidRPr="00BD3DEF">
        <w:rPr>
          <w:rFonts w:cs="Arial"/>
        </w:rPr>
        <w:t>among Moonee Valley</w:t>
      </w:r>
      <w:r w:rsidR="0047476D">
        <w:rPr>
          <w:rFonts w:cs="Arial"/>
        </w:rPr>
        <w:t>’</w:t>
      </w:r>
      <w:r w:rsidR="00117219" w:rsidRPr="00BD3DEF">
        <w:rPr>
          <w:rFonts w:cs="Arial"/>
        </w:rPr>
        <w:t xml:space="preserve">s target populations </w:t>
      </w:r>
      <w:r w:rsidRPr="00BD3DEF">
        <w:rPr>
          <w:rFonts w:cs="Arial"/>
        </w:rPr>
        <w:t>highlighted in this profile:</w:t>
      </w:r>
    </w:p>
    <w:p w14:paraId="0541894D" w14:textId="77777777" w:rsidR="00180A7B" w:rsidRPr="00BD3DEF" w:rsidRDefault="00180A7B" w:rsidP="00E31A19">
      <w:pPr>
        <w:rPr>
          <w:rFonts w:cs="Arial"/>
        </w:rPr>
      </w:pPr>
    </w:p>
    <w:p w14:paraId="3E3CFC28" w14:textId="77777777" w:rsidR="00F5144E" w:rsidRPr="00BD3DEF" w:rsidRDefault="00F5144E"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 xml:space="preserve">Mental health </w:t>
      </w:r>
      <w:r w:rsidR="00180A7B">
        <w:rPr>
          <w:rFonts w:ascii="Circular Std Book" w:hAnsi="Circular Std Book" w:cs="Circular Std Book"/>
          <w:color w:val="auto"/>
        </w:rPr>
        <w:t xml:space="preserve">challenges </w:t>
      </w:r>
      <w:r w:rsidRPr="00BD3DEF">
        <w:rPr>
          <w:rFonts w:ascii="Circular Std Book" w:hAnsi="Circular Std Book" w:cs="Circular Std Book"/>
          <w:color w:val="auto"/>
        </w:rPr>
        <w:t>(social isolation and loneliness, psychological distress, anxiety and depression)</w:t>
      </w:r>
    </w:p>
    <w:p w14:paraId="44A25250" w14:textId="0DB75E48" w:rsidR="00F5144E" w:rsidRPr="00BD3DEF" w:rsidRDefault="00F5144E"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Increasing family violence</w:t>
      </w:r>
      <w:r w:rsidR="0047476D">
        <w:rPr>
          <w:rFonts w:ascii="Circular Std Book" w:hAnsi="Circular Std Book" w:cs="Circular Std Book"/>
          <w:color w:val="auto"/>
        </w:rPr>
        <w:t>,</w:t>
      </w:r>
      <w:r w:rsidRPr="00BD3DEF">
        <w:rPr>
          <w:rFonts w:ascii="Circular Std Book" w:hAnsi="Circular Std Book" w:cs="Circular Std Book"/>
          <w:color w:val="auto"/>
        </w:rPr>
        <w:t xml:space="preserve"> including elder abuse</w:t>
      </w:r>
    </w:p>
    <w:p w14:paraId="223CA15A" w14:textId="77777777" w:rsidR="00F5144E" w:rsidRPr="00BD3DEF" w:rsidRDefault="00F5144E"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Increasing alcohol and drug use</w:t>
      </w:r>
    </w:p>
    <w:p w14:paraId="0B06CED1" w14:textId="77777777" w:rsidR="00F5144E" w:rsidRPr="00BD3DEF" w:rsidRDefault="00F5144E"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Physical activity (shift from organised sport to walking and cycling in local spaces)</w:t>
      </w:r>
    </w:p>
    <w:p w14:paraId="1F38E897" w14:textId="77777777" w:rsidR="00F5144E" w:rsidRPr="00BD3DEF" w:rsidRDefault="00F5144E"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Steep rise in food insecurity</w:t>
      </w:r>
      <w:r w:rsidR="00C66E0C" w:rsidRPr="00BD3DEF">
        <w:rPr>
          <w:rFonts w:ascii="Circular Std Book" w:hAnsi="Circular Std Book" w:cs="Circular Std Book"/>
          <w:color w:val="auto"/>
        </w:rPr>
        <w:t xml:space="preserve"> especially among International Students and Asylum Seekers</w:t>
      </w:r>
    </w:p>
    <w:p w14:paraId="653FB954" w14:textId="77777777" w:rsidR="00F5144E" w:rsidRPr="00BD3DEF" w:rsidRDefault="00F5144E"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Increasing financial hardship (unemployment, housing stress)</w:t>
      </w:r>
    </w:p>
    <w:p w14:paraId="58B5A880" w14:textId="4EA89B8A" w:rsidR="00F5144E" w:rsidRPr="00BD3DEF" w:rsidRDefault="00F5144E"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Increasing risk of homelessness</w:t>
      </w:r>
      <w:r w:rsidR="0047476D">
        <w:rPr>
          <w:rFonts w:ascii="Circular Std Book" w:hAnsi="Circular Std Book" w:cs="Circular Std Book"/>
          <w:color w:val="auto"/>
        </w:rPr>
        <w:t>,</w:t>
      </w:r>
      <w:r w:rsidR="00C66E0C" w:rsidRPr="00BD3DEF">
        <w:rPr>
          <w:rFonts w:ascii="Circular Std Book" w:hAnsi="Circular Std Book" w:cs="Circular Std Book"/>
          <w:color w:val="auto"/>
        </w:rPr>
        <w:t xml:space="preserve"> especially among socioeconomically disadvantaged and older women</w:t>
      </w:r>
    </w:p>
    <w:p w14:paraId="4C0E204C" w14:textId="77777777" w:rsidR="00DA1062" w:rsidRPr="00BD3DEF" w:rsidRDefault="00F5144E"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 xml:space="preserve">Widening digital divide </w:t>
      </w:r>
      <w:r w:rsidR="00C66E0C" w:rsidRPr="00BD3DEF">
        <w:rPr>
          <w:rFonts w:ascii="Circular Std Book" w:hAnsi="Circular Std Book" w:cs="Circular Std Book"/>
          <w:color w:val="auto"/>
        </w:rPr>
        <w:t>among socioeconomically disadvantaged and older adults</w:t>
      </w:r>
    </w:p>
    <w:p w14:paraId="54F9EFBB" w14:textId="4F8B9EAD" w:rsidR="00DA1062" w:rsidRPr="00BD3DEF" w:rsidRDefault="00DA1062"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 xml:space="preserve">People who have a pre-existing health condition, such as diabetes, asthma, heart and lung conditions, or immune problems are at higher risk of developing a severe illness associated with COVID-19 </w:t>
      </w:r>
    </w:p>
    <w:p w14:paraId="136EB6E6" w14:textId="3A533800" w:rsidR="00DA1062" w:rsidRPr="00BD3DEF" w:rsidRDefault="00DA1062" w:rsidP="00BD3DEF">
      <w:pPr>
        <w:pStyle w:val="ListParagraph"/>
        <w:numPr>
          <w:ilvl w:val="0"/>
          <w:numId w:val="8"/>
        </w:numPr>
        <w:spacing w:line="360" w:lineRule="auto"/>
        <w:rPr>
          <w:rFonts w:ascii="Circular Std Book" w:hAnsi="Circular Std Book" w:cs="Circular Std Book"/>
          <w:color w:val="auto"/>
          <w:lang w:eastAsia="en-AU"/>
        </w:rPr>
      </w:pPr>
      <w:r w:rsidRPr="00BD3DEF">
        <w:rPr>
          <w:rFonts w:ascii="Circular Std Book" w:hAnsi="Circular Std Book" w:cs="Circular Std Book"/>
          <w:color w:val="auto"/>
          <w:lang w:eastAsia="en-AU"/>
        </w:rPr>
        <w:t>N</w:t>
      </w:r>
      <w:r w:rsidRPr="00BD3DEF">
        <w:rPr>
          <w:rFonts w:ascii="Circular Std Book" w:eastAsia="Times New Roman" w:hAnsi="Circular Std Book" w:cs="Circular Std Book"/>
          <w:color w:val="auto"/>
          <w:lang w:eastAsia="en-AU"/>
        </w:rPr>
        <w:t>on-urgent (or elective) surgeries have been postponed to free up beds and equipment, (</w:t>
      </w:r>
      <w:r w:rsidRPr="00BD3DEF">
        <w:rPr>
          <w:rFonts w:ascii="Circular Std Book" w:hAnsi="Circular Std Book" w:cs="Circular Std Book"/>
          <w:color w:val="auto"/>
        </w:rPr>
        <w:t>Australian Broadcasting Corporation, 2020)</w:t>
      </w:r>
    </w:p>
    <w:p w14:paraId="196B407E" w14:textId="25983A15" w:rsidR="00DA1062" w:rsidRPr="00BD3DEF" w:rsidRDefault="00C66E0C" w:rsidP="00BD3DEF">
      <w:pPr>
        <w:pStyle w:val="ListParagraph"/>
        <w:numPr>
          <w:ilvl w:val="0"/>
          <w:numId w:val="8"/>
        </w:numPr>
        <w:spacing w:line="360" w:lineRule="auto"/>
        <w:rPr>
          <w:rFonts w:ascii="Circular Std Book" w:hAnsi="Circular Std Book" w:cs="Circular Std Book"/>
          <w:color w:val="auto"/>
          <w:lang w:eastAsia="en-AU"/>
        </w:rPr>
      </w:pPr>
      <w:r w:rsidRPr="00BD3DEF">
        <w:rPr>
          <w:rFonts w:ascii="Circular Std Book" w:eastAsia="Times New Roman" w:hAnsi="Circular Std Book" w:cs="Circular Std Book"/>
          <w:color w:val="auto"/>
          <w:lang w:eastAsia="en-AU"/>
        </w:rPr>
        <w:t>P</w:t>
      </w:r>
      <w:r w:rsidR="00DA1062" w:rsidRPr="00BD3DEF">
        <w:rPr>
          <w:rFonts w:ascii="Circular Std Book" w:eastAsia="Times New Roman" w:hAnsi="Circular Std Book" w:cs="Circular Std Book"/>
          <w:color w:val="auto"/>
          <w:lang w:eastAsia="en-AU"/>
        </w:rPr>
        <w:t xml:space="preserve">eople </w:t>
      </w:r>
      <w:r w:rsidRPr="00BD3DEF">
        <w:rPr>
          <w:rFonts w:ascii="Circular Std Book" w:eastAsia="Times New Roman" w:hAnsi="Circular Std Book" w:cs="Circular Std Book"/>
          <w:color w:val="auto"/>
          <w:lang w:eastAsia="en-AU"/>
        </w:rPr>
        <w:t xml:space="preserve">have been </w:t>
      </w:r>
      <w:r w:rsidR="00DA1062" w:rsidRPr="00BD3DEF">
        <w:rPr>
          <w:rFonts w:ascii="Circular Std Book" w:eastAsia="Times New Roman" w:hAnsi="Circular Std Book" w:cs="Circular Std Book"/>
          <w:color w:val="auto"/>
          <w:lang w:eastAsia="en-AU"/>
        </w:rPr>
        <w:t>delaying visiting GPs for health check-ups</w:t>
      </w:r>
      <w:r w:rsidR="00117219" w:rsidRPr="00BD3DEF">
        <w:rPr>
          <w:rFonts w:ascii="Circular Std Book" w:eastAsia="Times New Roman" w:hAnsi="Circular Std Book" w:cs="Circular Std Book"/>
          <w:color w:val="auto"/>
          <w:lang w:eastAsia="en-AU"/>
        </w:rPr>
        <w:t xml:space="preserve"> </w:t>
      </w:r>
      <w:r w:rsidR="00DA1062" w:rsidRPr="00BD3DEF">
        <w:rPr>
          <w:rFonts w:ascii="Circular Std Book" w:eastAsia="Times New Roman" w:hAnsi="Circular Std Book" w:cs="Circular Std Book"/>
          <w:color w:val="auto"/>
          <w:lang w:eastAsia="en-AU"/>
        </w:rPr>
        <w:t>(</w:t>
      </w:r>
      <w:proofErr w:type="spellStart"/>
      <w:r w:rsidR="00DA1062" w:rsidRPr="00BD3DEF">
        <w:rPr>
          <w:rFonts w:ascii="Circular Std Book" w:hAnsi="Circular Std Book" w:cs="Circular Std Book"/>
          <w:color w:val="auto"/>
        </w:rPr>
        <w:t>Ivynian</w:t>
      </w:r>
      <w:proofErr w:type="spellEnd"/>
      <w:r w:rsidR="00DA1062" w:rsidRPr="00BD3DEF">
        <w:rPr>
          <w:rStyle w:val="FootnoteReference"/>
          <w:rFonts w:ascii="Circular Std Book" w:eastAsia="Times New Roman" w:hAnsi="Circular Std Book" w:cs="Circular Std Book"/>
          <w:color w:val="auto"/>
          <w:lang w:eastAsia="en-AU"/>
        </w:rPr>
        <w:t xml:space="preserve"> </w:t>
      </w:r>
      <w:r w:rsidR="00DA1062" w:rsidRPr="00BD3DEF">
        <w:rPr>
          <w:rFonts w:ascii="Circular Std Book" w:eastAsia="Times New Roman" w:hAnsi="Circular Std Book" w:cs="Circular Std Book"/>
          <w:color w:val="auto"/>
          <w:lang w:eastAsia="en-AU"/>
        </w:rPr>
        <w:t xml:space="preserve"> et al, 2020)</w:t>
      </w:r>
    </w:p>
    <w:p w14:paraId="4295D852" w14:textId="77777777" w:rsidR="00DA1062" w:rsidRPr="00BD3DEF" w:rsidRDefault="00DA1062" w:rsidP="00BD3DEF">
      <w:pPr>
        <w:pStyle w:val="ListParagraph"/>
        <w:numPr>
          <w:ilvl w:val="0"/>
          <w:numId w:val="8"/>
        </w:numPr>
        <w:spacing w:line="360" w:lineRule="auto"/>
        <w:rPr>
          <w:rFonts w:ascii="Circular Std Book" w:hAnsi="Circular Std Book" w:cs="Circular Std Book"/>
          <w:color w:val="auto"/>
        </w:rPr>
      </w:pPr>
      <w:r w:rsidRPr="00BD3DEF">
        <w:rPr>
          <w:rFonts w:ascii="Circular Std Book" w:hAnsi="Circular Std Book" w:cs="Circular Std Book"/>
          <w:color w:val="auto"/>
        </w:rPr>
        <w:t>Many mental health services have closed or shifted to remote service during the pandemic.</w:t>
      </w:r>
    </w:p>
    <w:p w14:paraId="0998A4A0" w14:textId="77777777" w:rsidR="00DA1062" w:rsidRPr="00BD3DEF" w:rsidRDefault="00DA1062" w:rsidP="00DA1062">
      <w:pPr>
        <w:rPr>
          <w:rFonts w:cs="Arial"/>
        </w:rPr>
      </w:pPr>
      <w:r w:rsidRPr="00BD3DEF">
        <w:rPr>
          <w:rFonts w:cs="Arial"/>
        </w:rPr>
        <w:t xml:space="preserve">It is important to note that the full impacts of the COVID-19 pandemic on all of the preventable contributors to poor health and wellbeing are yet to be </w:t>
      </w:r>
      <w:r w:rsidR="00C66E0C" w:rsidRPr="00BD3DEF">
        <w:rPr>
          <w:rFonts w:cs="Arial"/>
        </w:rPr>
        <w:t>fully realised.</w:t>
      </w:r>
    </w:p>
    <w:p w14:paraId="3FF031A4" w14:textId="77777777" w:rsidR="00EC4E90" w:rsidRPr="00B2525C" w:rsidRDefault="00B01D14" w:rsidP="00DA1062">
      <w:pPr>
        <w:pStyle w:val="ListParagraph"/>
        <w:rPr>
          <w:rFonts w:ascii="Arial" w:hAnsi="Arial" w:cs="Arial"/>
        </w:rPr>
      </w:pPr>
      <w:r w:rsidRPr="00B2525C">
        <w:rPr>
          <w:rFonts w:ascii="Arial" w:hAnsi="Arial" w:cs="Arial"/>
        </w:rPr>
        <w:br w:type="page"/>
      </w:r>
    </w:p>
    <w:p w14:paraId="7CAD3E29" w14:textId="2C810247" w:rsidR="00A84C29" w:rsidRDefault="00A84432" w:rsidP="00A84C29">
      <w:pPr>
        <w:pStyle w:val="Heading1"/>
        <w:rPr>
          <w:rFonts w:cs="Arial"/>
        </w:rPr>
      </w:pPr>
      <w:bookmarkStart w:id="64" w:name="_Toc80014171"/>
      <w:r w:rsidRPr="00B2525C">
        <w:rPr>
          <w:rFonts w:cs="Arial"/>
        </w:rPr>
        <w:lastRenderedPageBreak/>
        <w:t>A</w:t>
      </w:r>
      <w:r w:rsidR="00A84C29" w:rsidRPr="00B2525C">
        <w:rPr>
          <w:rFonts w:cs="Arial"/>
        </w:rPr>
        <w:t>bbreviations</w:t>
      </w:r>
      <w:bookmarkEnd w:id="64"/>
      <w:r w:rsidR="00A84C29" w:rsidRPr="00B2525C">
        <w:rPr>
          <w:rFonts w:cs="Arial"/>
        </w:rPr>
        <w:t xml:space="preserve"> </w:t>
      </w:r>
    </w:p>
    <w:p w14:paraId="1D36A614" w14:textId="77777777" w:rsidR="00180A7B" w:rsidRPr="00180A7B" w:rsidRDefault="00180A7B" w:rsidP="00180A7B"/>
    <w:p w14:paraId="548E186B" w14:textId="77777777" w:rsidR="005B298D" w:rsidRPr="00B2525C" w:rsidRDefault="005B298D" w:rsidP="005B298D">
      <w:pPr>
        <w:rPr>
          <w:rFonts w:cs="Arial"/>
        </w:rPr>
      </w:pPr>
      <w:bookmarkStart w:id="65" w:name="references-indigenous-language"/>
      <w:r w:rsidRPr="00B2525C">
        <w:rPr>
          <w:rFonts w:cs="Arial"/>
          <w:b/>
        </w:rPr>
        <w:t>ABS</w:t>
      </w:r>
      <w:r w:rsidR="00F716E0" w:rsidRPr="00B2525C">
        <w:rPr>
          <w:rFonts w:cs="Arial"/>
        </w:rPr>
        <w:tab/>
      </w:r>
      <w:r w:rsidR="00F716E0" w:rsidRPr="00B2525C">
        <w:rPr>
          <w:rFonts w:cs="Arial"/>
        </w:rPr>
        <w:tab/>
      </w:r>
      <w:r w:rsidRPr="00B2525C">
        <w:rPr>
          <w:rFonts w:cs="Arial"/>
        </w:rPr>
        <w:t>Australian Bureau of Statistics</w:t>
      </w:r>
    </w:p>
    <w:p w14:paraId="728C1D80" w14:textId="77777777" w:rsidR="005B298D" w:rsidRPr="00B2525C" w:rsidRDefault="005B298D" w:rsidP="005B298D">
      <w:pPr>
        <w:rPr>
          <w:rFonts w:cs="Arial"/>
        </w:rPr>
      </w:pPr>
      <w:r w:rsidRPr="00B2525C">
        <w:rPr>
          <w:rFonts w:cs="Arial"/>
          <w:b/>
        </w:rPr>
        <w:t>AIHW</w:t>
      </w:r>
      <w:r w:rsidR="00F716E0" w:rsidRPr="00B2525C">
        <w:rPr>
          <w:rFonts w:cs="Arial"/>
        </w:rPr>
        <w:tab/>
      </w:r>
      <w:r w:rsidR="00F716E0" w:rsidRPr="00B2525C">
        <w:rPr>
          <w:rFonts w:cs="Arial"/>
        </w:rPr>
        <w:tab/>
      </w:r>
      <w:r w:rsidRPr="00B2525C">
        <w:rPr>
          <w:rFonts w:cs="Arial"/>
        </w:rPr>
        <w:t>Australian Institute of Health and Welfare</w:t>
      </w:r>
    </w:p>
    <w:p w14:paraId="0454AF64" w14:textId="77777777" w:rsidR="005B298D" w:rsidRPr="00B2525C" w:rsidRDefault="005B298D" w:rsidP="005B298D">
      <w:pPr>
        <w:rPr>
          <w:rFonts w:cs="Arial"/>
        </w:rPr>
      </w:pPr>
      <w:r w:rsidRPr="00B2525C">
        <w:rPr>
          <w:rFonts w:cs="Arial"/>
          <w:b/>
        </w:rPr>
        <w:t>DHHS</w:t>
      </w:r>
      <w:r w:rsidR="00F716E0" w:rsidRPr="00B2525C">
        <w:rPr>
          <w:rFonts w:cs="Arial"/>
        </w:rPr>
        <w:tab/>
      </w:r>
      <w:r w:rsidR="00F716E0" w:rsidRPr="00B2525C">
        <w:rPr>
          <w:rFonts w:cs="Arial"/>
        </w:rPr>
        <w:tab/>
      </w:r>
      <w:r w:rsidRPr="00B2525C">
        <w:rPr>
          <w:rFonts w:cs="Arial"/>
        </w:rPr>
        <w:t>Department of Health and Human Services (Victoria)</w:t>
      </w:r>
    </w:p>
    <w:p w14:paraId="3FD9346B" w14:textId="77777777" w:rsidR="005B298D" w:rsidRPr="00B2525C" w:rsidRDefault="005B298D" w:rsidP="00F716E0">
      <w:pPr>
        <w:rPr>
          <w:rFonts w:cs="Arial"/>
        </w:rPr>
      </w:pPr>
      <w:r w:rsidRPr="00B2525C">
        <w:rPr>
          <w:rFonts w:cs="Arial"/>
          <w:b/>
        </w:rPr>
        <w:t>IRSD</w:t>
      </w:r>
      <w:r w:rsidR="00F716E0" w:rsidRPr="00B2525C">
        <w:rPr>
          <w:rFonts w:cs="Arial"/>
          <w:b/>
        </w:rPr>
        <w:tab/>
      </w:r>
      <w:r w:rsidR="00F716E0" w:rsidRPr="00B2525C">
        <w:rPr>
          <w:rFonts w:cs="Arial"/>
          <w:b/>
        </w:rPr>
        <w:tab/>
      </w:r>
      <w:r w:rsidRPr="00B2525C">
        <w:rPr>
          <w:rFonts w:cs="Arial"/>
        </w:rPr>
        <w:t>Index of Relative Socio-economic Disadvantage (this is one of the four SEIFA indices)</w:t>
      </w:r>
    </w:p>
    <w:p w14:paraId="0ABCC358" w14:textId="77777777" w:rsidR="00F716E0" w:rsidRPr="00B2525C" w:rsidRDefault="00F716E0" w:rsidP="00F716E0">
      <w:pPr>
        <w:ind w:left="1440" w:hanging="1440"/>
        <w:rPr>
          <w:rFonts w:cs="Arial"/>
        </w:rPr>
      </w:pPr>
      <w:r w:rsidRPr="00B2525C">
        <w:rPr>
          <w:rFonts w:cs="Arial"/>
          <w:b/>
        </w:rPr>
        <w:t>LGBTIQA+</w:t>
      </w:r>
      <w:r w:rsidRPr="00B2525C">
        <w:rPr>
          <w:rFonts w:cs="Arial"/>
        </w:rPr>
        <w:t xml:space="preserve"> </w:t>
      </w:r>
      <w:r w:rsidRPr="00B2525C">
        <w:rPr>
          <w:rFonts w:cs="Arial"/>
        </w:rPr>
        <w:tab/>
        <w:t>Lesbian, Gay, Bisexual, Transgender, Gender Diverse, Intersex, Queer, Asexual and Questioning Communities</w:t>
      </w:r>
    </w:p>
    <w:p w14:paraId="069EAB9D" w14:textId="77777777" w:rsidR="005B298D" w:rsidRPr="00B2525C" w:rsidRDefault="005B298D" w:rsidP="00F716E0">
      <w:pPr>
        <w:ind w:left="1440" w:hanging="1440"/>
        <w:rPr>
          <w:rFonts w:cs="Arial"/>
        </w:rPr>
      </w:pPr>
      <w:r w:rsidRPr="00B2525C">
        <w:rPr>
          <w:rFonts w:cs="Arial"/>
          <w:b/>
        </w:rPr>
        <w:t>SA2</w:t>
      </w:r>
      <w:r w:rsidR="00F716E0" w:rsidRPr="00B2525C">
        <w:rPr>
          <w:rFonts w:cs="Arial"/>
          <w:b/>
        </w:rPr>
        <w:tab/>
      </w:r>
      <w:r w:rsidRPr="00B2525C">
        <w:rPr>
          <w:rFonts w:cs="Arial"/>
        </w:rPr>
        <w:t>Statistical Area Level 2 (this is a geographical area that is part of the Australian Statistical Geography Standard)</w:t>
      </w:r>
    </w:p>
    <w:p w14:paraId="102A52B2" w14:textId="77777777" w:rsidR="005B298D" w:rsidRPr="00B2525C" w:rsidRDefault="005B298D" w:rsidP="005B298D">
      <w:pPr>
        <w:rPr>
          <w:rFonts w:cs="Arial"/>
        </w:rPr>
      </w:pPr>
      <w:r w:rsidRPr="00B2525C">
        <w:rPr>
          <w:rFonts w:cs="Arial"/>
          <w:b/>
        </w:rPr>
        <w:t xml:space="preserve">SEIFA </w:t>
      </w:r>
      <w:r w:rsidR="00F716E0" w:rsidRPr="00B2525C">
        <w:rPr>
          <w:rFonts w:cs="Arial"/>
          <w:b/>
        </w:rPr>
        <w:tab/>
      </w:r>
      <w:r w:rsidR="00F716E0" w:rsidRPr="00B2525C">
        <w:rPr>
          <w:rFonts w:cs="Arial"/>
          <w:b/>
        </w:rPr>
        <w:tab/>
      </w:r>
      <w:r w:rsidRPr="00B2525C">
        <w:rPr>
          <w:rFonts w:cs="Arial"/>
        </w:rPr>
        <w:t>Socio-Economic Indexes for Areas - these are indices created by the ABS</w:t>
      </w:r>
    </w:p>
    <w:p w14:paraId="42B33408" w14:textId="77777777" w:rsidR="00320615" w:rsidRPr="00B2525C" w:rsidRDefault="00320615" w:rsidP="00320615">
      <w:pPr>
        <w:rPr>
          <w:rFonts w:cs="Arial"/>
        </w:rPr>
      </w:pPr>
      <w:r w:rsidRPr="00B2525C">
        <w:rPr>
          <w:rFonts w:cs="Arial"/>
          <w:b/>
        </w:rPr>
        <w:t>SRH</w:t>
      </w:r>
      <w:r w:rsidRPr="00B2525C">
        <w:rPr>
          <w:rFonts w:cs="Arial"/>
          <w:b/>
        </w:rPr>
        <w:tab/>
      </w:r>
      <w:r w:rsidRPr="00B2525C">
        <w:rPr>
          <w:rFonts w:cs="Arial"/>
        </w:rPr>
        <w:tab/>
        <w:t>Sexual and reproductive health</w:t>
      </w:r>
    </w:p>
    <w:p w14:paraId="6FDFE7AD" w14:textId="77777777" w:rsidR="004A5BD8" w:rsidRPr="00B2525C" w:rsidRDefault="004A5BD8" w:rsidP="00320615">
      <w:pPr>
        <w:rPr>
          <w:rFonts w:cs="Arial"/>
        </w:rPr>
      </w:pPr>
      <w:r w:rsidRPr="00B2525C">
        <w:rPr>
          <w:rFonts w:cs="Arial"/>
          <w:b/>
        </w:rPr>
        <w:t>STD</w:t>
      </w:r>
      <w:r w:rsidRPr="00B2525C">
        <w:rPr>
          <w:rFonts w:cs="Arial"/>
        </w:rPr>
        <w:tab/>
      </w:r>
      <w:r w:rsidRPr="00B2525C">
        <w:rPr>
          <w:rFonts w:cs="Arial"/>
        </w:rPr>
        <w:tab/>
        <w:t>Sexually transmitted disease</w:t>
      </w:r>
    </w:p>
    <w:p w14:paraId="7BC7D0B4" w14:textId="77777777" w:rsidR="00CC7B4F" w:rsidRPr="00B2525C" w:rsidRDefault="00561C37">
      <w:pPr>
        <w:rPr>
          <w:rFonts w:cs="Arial"/>
        </w:rPr>
      </w:pPr>
      <w:r w:rsidRPr="00B2525C">
        <w:rPr>
          <w:rFonts w:cs="Arial"/>
          <w:b/>
        </w:rPr>
        <w:t>STI</w:t>
      </w:r>
      <w:r w:rsidRPr="00B2525C">
        <w:rPr>
          <w:rFonts w:cs="Arial"/>
        </w:rPr>
        <w:tab/>
      </w:r>
      <w:r w:rsidRPr="00B2525C">
        <w:rPr>
          <w:rFonts w:cs="Arial"/>
        </w:rPr>
        <w:tab/>
        <w:t>Sexually transmitted infection</w:t>
      </w:r>
      <w:r w:rsidR="00CC7B4F" w:rsidRPr="00B2525C">
        <w:rPr>
          <w:rFonts w:cs="Arial"/>
        </w:rPr>
        <w:br w:type="page"/>
      </w:r>
    </w:p>
    <w:p w14:paraId="3B9E8925" w14:textId="4547AEC0" w:rsidR="00EC4E90" w:rsidRDefault="00182661">
      <w:pPr>
        <w:pStyle w:val="Heading1"/>
        <w:rPr>
          <w:rFonts w:cs="Arial"/>
        </w:rPr>
      </w:pPr>
      <w:bookmarkStart w:id="66" w:name="_Toc80014172"/>
      <w:bookmarkEnd w:id="65"/>
      <w:r w:rsidRPr="00B2525C">
        <w:rPr>
          <w:rFonts w:cs="Arial"/>
        </w:rPr>
        <w:lastRenderedPageBreak/>
        <w:t>References</w:t>
      </w:r>
      <w:bookmarkEnd w:id="66"/>
    </w:p>
    <w:p w14:paraId="4C001EBE" w14:textId="77777777" w:rsidR="00180A7B" w:rsidRPr="00180A7B" w:rsidRDefault="00180A7B" w:rsidP="00180A7B"/>
    <w:p w14:paraId="3BA831BF" w14:textId="77777777" w:rsidR="00F8545E" w:rsidRPr="00B2525C" w:rsidRDefault="006879A0" w:rsidP="00F8545E">
      <w:pPr>
        <w:rPr>
          <w:rFonts w:cs="Arial"/>
        </w:rPr>
      </w:pPr>
      <w:r w:rsidRPr="00B2525C">
        <w:rPr>
          <w:rFonts w:cs="Arial"/>
        </w:rPr>
        <w:t>Aronson, L</w:t>
      </w:r>
      <w:r w:rsidR="004961DF" w:rsidRPr="00B2525C">
        <w:rPr>
          <w:rFonts w:cs="Arial"/>
        </w:rPr>
        <w:t>., 2020</w:t>
      </w:r>
      <w:r w:rsidRPr="00B2525C">
        <w:rPr>
          <w:rFonts w:cs="Arial"/>
        </w:rPr>
        <w:t xml:space="preserve"> ‘Ageism Is Making the Pandemic Worse’, </w:t>
      </w:r>
      <w:hyperlink r:id="rId104" w:history="1">
        <w:r w:rsidRPr="00B2525C">
          <w:rPr>
            <w:rStyle w:val="Hyperlink"/>
            <w:rFonts w:cs="Arial"/>
          </w:rPr>
          <w:t>https://www.theatlantic.com/culture/archive/2020/03/americas-ageism-crisis-is-helping-the-coronavirus/608905/</w:t>
        </w:r>
      </w:hyperlink>
      <w:r w:rsidRPr="00B2525C">
        <w:rPr>
          <w:rStyle w:val="Hyperlink"/>
          <w:rFonts w:cs="Arial"/>
        </w:rPr>
        <w:t>,</w:t>
      </w:r>
      <w:r w:rsidRPr="00B2525C">
        <w:rPr>
          <w:rFonts w:cs="Arial"/>
        </w:rPr>
        <w:t xml:space="preserve"> </w:t>
      </w:r>
    </w:p>
    <w:p w14:paraId="3E89343E" w14:textId="77777777" w:rsidR="006879A0" w:rsidRPr="00B2525C" w:rsidRDefault="006879A0" w:rsidP="00F8545E">
      <w:pPr>
        <w:rPr>
          <w:rFonts w:cs="Arial"/>
        </w:rPr>
      </w:pPr>
      <w:r w:rsidRPr="00B2525C">
        <w:rPr>
          <w:rFonts w:cs="Arial"/>
        </w:rPr>
        <w:t>Carman, M, Bourne A, and J Fairchild,</w:t>
      </w:r>
      <w:r w:rsidR="004961DF" w:rsidRPr="00B2525C">
        <w:rPr>
          <w:rFonts w:cs="Arial"/>
        </w:rPr>
        <w:t xml:space="preserve"> </w:t>
      </w:r>
      <w:proofErr w:type="gramStart"/>
      <w:r w:rsidR="004961DF" w:rsidRPr="00B2525C">
        <w:rPr>
          <w:rFonts w:cs="Arial"/>
        </w:rPr>
        <w:t xml:space="preserve">2020, </w:t>
      </w:r>
      <w:r w:rsidRPr="00B2525C">
        <w:rPr>
          <w:rFonts w:cs="Arial"/>
        </w:rPr>
        <w:t xml:space="preserve"> </w:t>
      </w:r>
      <w:r w:rsidR="004961DF" w:rsidRPr="00B2525C">
        <w:rPr>
          <w:rFonts w:cs="Arial"/>
        </w:rPr>
        <w:t>‘</w:t>
      </w:r>
      <w:proofErr w:type="gramEnd"/>
      <w:r w:rsidRPr="00B2525C">
        <w:rPr>
          <w:rFonts w:cs="Arial"/>
        </w:rPr>
        <w:t>COVID-19: impacts for LGBTIQ communities and implications for services: A Research Briefing Paper by Rainbow Health Victoria</w:t>
      </w:r>
      <w:r w:rsidR="004961DF" w:rsidRPr="00B2525C">
        <w:rPr>
          <w:rFonts w:cs="Arial"/>
        </w:rPr>
        <w:t>’</w:t>
      </w:r>
      <w:r w:rsidRPr="00B2525C">
        <w:rPr>
          <w:rFonts w:cs="Arial"/>
        </w:rPr>
        <w:t xml:space="preserve">. Melbourne: Rainbow Health Victoria, Australian Research Centre in Sex, Health and Society, La Trobe University, </w:t>
      </w:r>
      <w:hyperlink r:id="rId105" w:history="1">
        <w:r w:rsidRPr="00B2525C">
          <w:rPr>
            <w:rStyle w:val="Hyperlink"/>
            <w:rFonts w:cs="Arial"/>
          </w:rPr>
          <w:t>https://www.latrobe.edu.au/__data/assets/pdf_file/0006/1109481/Rainbow-Health-Victoria-Research-Briefing-Paper-COVID-19.pdf</w:t>
        </w:r>
      </w:hyperlink>
    </w:p>
    <w:p w14:paraId="30A60FC8" w14:textId="77777777" w:rsidR="00DA1062" w:rsidRPr="00B2525C" w:rsidRDefault="00DA1062" w:rsidP="00F8545E">
      <w:pPr>
        <w:rPr>
          <w:rFonts w:cs="Arial"/>
        </w:rPr>
      </w:pPr>
      <w:r w:rsidRPr="00B2525C">
        <w:rPr>
          <w:rFonts w:cs="Arial"/>
        </w:rPr>
        <w:t>Australian Broadcasting Corporation,</w:t>
      </w:r>
      <w:r w:rsidR="004961DF" w:rsidRPr="00B2525C">
        <w:rPr>
          <w:rFonts w:cs="Arial"/>
        </w:rPr>
        <w:t xml:space="preserve"> 2020. ‘</w:t>
      </w:r>
      <w:r w:rsidRPr="00B2525C">
        <w:rPr>
          <w:rFonts w:cs="Arial"/>
        </w:rPr>
        <w:t>Elective surgery is going to resume as coronavirus restrictions ease. Here's what you need to know</w:t>
      </w:r>
      <w:r w:rsidR="004961DF" w:rsidRPr="00B2525C">
        <w:rPr>
          <w:rFonts w:cs="Arial"/>
        </w:rPr>
        <w:t>’</w:t>
      </w:r>
      <w:r w:rsidRPr="00B2525C">
        <w:rPr>
          <w:rFonts w:cs="Arial"/>
        </w:rPr>
        <w:t xml:space="preserve">, </w:t>
      </w:r>
      <w:hyperlink r:id="rId106" w:history="1">
        <w:r w:rsidRPr="00B2525C">
          <w:rPr>
            <w:rFonts w:cs="Arial"/>
          </w:rPr>
          <w:t>https://www.abc.net.au/news/2020-04-21/elective-surgery-restored-national-cabinet-cmo-coronavirus/12168848</w:t>
        </w:r>
      </w:hyperlink>
    </w:p>
    <w:p w14:paraId="6DB83CA7" w14:textId="77777777" w:rsidR="00EC4E90" w:rsidRPr="00B2525C" w:rsidRDefault="00B01D14" w:rsidP="00F8545E">
      <w:pPr>
        <w:rPr>
          <w:rFonts w:cs="Arial"/>
        </w:rPr>
      </w:pPr>
      <w:r w:rsidRPr="00B2525C">
        <w:rPr>
          <w:rFonts w:cs="Arial"/>
        </w:rPr>
        <w:t xml:space="preserve">Australian Bureau of Statistics, 2016, </w:t>
      </w:r>
      <w:r w:rsidR="004961DF" w:rsidRPr="00B2525C">
        <w:rPr>
          <w:rFonts w:cs="Arial"/>
        </w:rPr>
        <w:t>‘</w:t>
      </w:r>
      <w:r w:rsidRPr="00B2525C">
        <w:rPr>
          <w:rFonts w:cs="Arial"/>
          <w:iCs/>
        </w:rPr>
        <w:t>Census of Population and Housing</w:t>
      </w:r>
      <w:r w:rsidR="004961DF" w:rsidRPr="00B2525C">
        <w:rPr>
          <w:rFonts w:cs="Arial"/>
          <w:iCs/>
        </w:rPr>
        <w:t>’</w:t>
      </w:r>
      <w:r w:rsidRPr="00B2525C">
        <w:rPr>
          <w:rFonts w:cs="Arial"/>
          <w:i/>
        </w:rPr>
        <w:t>, 2016</w:t>
      </w:r>
      <w:r w:rsidRPr="00B2525C">
        <w:rPr>
          <w:rFonts w:cs="Arial"/>
        </w:rPr>
        <w:t>, Australian Government, Canberra.</w:t>
      </w:r>
    </w:p>
    <w:p w14:paraId="4FFBBA12" w14:textId="77777777" w:rsidR="00EC4E90" w:rsidRPr="00B2525C" w:rsidRDefault="00B01D14" w:rsidP="00F8545E">
      <w:pPr>
        <w:rPr>
          <w:rFonts w:cs="Arial"/>
        </w:rPr>
      </w:pPr>
      <w:r w:rsidRPr="00B2525C">
        <w:rPr>
          <w:rFonts w:cs="Arial"/>
        </w:rPr>
        <w:t>Australian Bureau of Statistics,</w:t>
      </w:r>
      <w:r w:rsidR="004961DF" w:rsidRPr="00B2525C">
        <w:rPr>
          <w:rFonts w:cs="Arial"/>
        </w:rPr>
        <w:t xml:space="preserve"> </w:t>
      </w:r>
      <w:proofErr w:type="gramStart"/>
      <w:r w:rsidR="004961DF" w:rsidRPr="00B2525C">
        <w:rPr>
          <w:rFonts w:cs="Arial"/>
        </w:rPr>
        <w:t xml:space="preserve">2018, </w:t>
      </w:r>
      <w:r w:rsidRPr="00B2525C">
        <w:rPr>
          <w:rFonts w:cs="Arial"/>
        </w:rPr>
        <w:t xml:space="preserve"> </w:t>
      </w:r>
      <w:r w:rsidR="004961DF" w:rsidRPr="00B2525C">
        <w:rPr>
          <w:rFonts w:cs="Arial"/>
        </w:rPr>
        <w:t>‘</w:t>
      </w:r>
      <w:proofErr w:type="gramEnd"/>
      <w:r w:rsidRPr="00B2525C">
        <w:rPr>
          <w:rFonts w:cs="Arial"/>
        </w:rPr>
        <w:t>Census of Population and Housing: Estimating homelessness</w:t>
      </w:r>
      <w:r w:rsidR="004961DF" w:rsidRPr="00B2525C">
        <w:rPr>
          <w:rFonts w:cs="Arial"/>
        </w:rPr>
        <w:t>’</w:t>
      </w:r>
      <w:r w:rsidRPr="00B2525C">
        <w:rPr>
          <w:rFonts w:cs="Arial"/>
        </w:rPr>
        <w:t xml:space="preserve">, </w:t>
      </w:r>
      <w:r w:rsidR="004961DF" w:rsidRPr="00B2525C">
        <w:rPr>
          <w:rFonts w:cs="Arial"/>
        </w:rPr>
        <w:t xml:space="preserve">Cat. 2049.0, </w:t>
      </w:r>
      <w:r w:rsidRPr="00B2525C">
        <w:rPr>
          <w:rFonts w:cs="Arial"/>
        </w:rPr>
        <w:t>Australian Government, Canberra.</w:t>
      </w:r>
    </w:p>
    <w:p w14:paraId="071E117F" w14:textId="77777777" w:rsidR="00EC4E90" w:rsidRPr="00B2525C" w:rsidRDefault="00B01D14" w:rsidP="00F8545E">
      <w:pPr>
        <w:rPr>
          <w:rFonts w:cs="Arial"/>
        </w:rPr>
      </w:pPr>
      <w:r w:rsidRPr="00B2525C">
        <w:rPr>
          <w:rFonts w:cs="Arial"/>
        </w:rPr>
        <w:t xml:space="preserve">Australian Bureau of Statistics, 2019, </w:t>
      </w:r>
      <w:r w:rsidR="004961DF" w:rsidRPr="00B2525C">
        <w:rPr>
          <w:rFonts w:cs="Arial"/>
          <w:i/>
        </w:rPr>
        <w:t>‘</w:t>
      </w:r>
      <w:r w:rsidRPr="00B2525C">
        <w:rPr>
          <w:rFonts w:cs="Arial"/>
          <w:iCs/>
        </w:rPr>
        <w:t>Regional Population by Age and Sex, Australi</w:t>
      </w:r>
      <w:r w:rsidR="004961DF" w:rsidRPr="00B2525C">
        <w:rPr>
          <w:rFonts w:cs="Arial"/>
          <w:iCs/>
        </w:rPr>
        <w:t>a’</w:t>
      </w:r>
      <w:r w:rsidRPr="00B2525C">
        <w:rPr>
          <w:rFonts w:cs="Arial"/>
        </w:rPr>
        <w:t>, Australian Government, Canberra.</w:t>
      </w:r>
    </w:p>
    <w:p w14:paraId="2791D728" w14:textId="77777777" w:rsidR="002A53F6" w:rsidRPr="00B2525C" w:rsidRDefault="002A53F6" w:rsidP="00F8545E">
      <w:pPr>
        <w:rPr>
          <w:rFonts w:cs="Arial"/>
        </w:rPr>
      </w:pPr>
      <w:r w:rsidRPr="00B2525C">
        <w:rPr>
          <w:rFonts w:cs="Arial"/>
        </w:rPr>
        <w:t xml:space="preserve">Australian Bureau of Statistics, 2018. </w:t>
      </w:r>
      <w:r w:rsidR="004961DF" w:rsidRPr="00B2525C">
        <w:rPr>
          <w:rFonts w:cs="Arial"/>
        </w:rPr>
        <w:t>‘</w:t>
      </w:r>
      <w:hyperlink r:id="rId107" w:anchor="key-statistics" w:history="1">
        <w:r w:rsidRPr="00B2525C">
          <w:rPr>
            <w:rFonts w:cs="Arial"/>
          </w:rPr>
          <w:t>Disability, Ageing and Carers, Australia: Summary of Findings</w:t>
        </w:r>
      </w:hyperlink>
      <w:r w:rsidR="004961DF" w:rsidRPr="00B2525C">
        <w:rPr>
          <w:rFonts w:cs="Arial"/>
        </w:rPr>
        <w:t>’</w:t>
      </w:r>
      <w:r w:rsidRPr="00B2525C">
        <w:rPr>
          <w:rFonts w:cs="Arial"/>
        </w:rPr>
        <w:t>.</w:t>
      </w:r>
      <w:r w:rsidRPr="00B2525C">
        <w:rPr>
          <w:rStyle w:val="CommentReference"/>
          <w:rFonts w:cs="Arial"/>
          <w:sz w:val="22"/>
          <w:szCs w:val="22"/>
        </w:rPr>
        <w:t xml:space="preserve"> </w:t>
      </w:r>
      <w:r w:rsidRPr="00B2525C">
        <w:rPr>
          <w:rFonts w:cs="Arial"/>
        </w:rPr>
        <w:t xml:space="preserve"> </w:t>
      </w:r>
      <w:hyperlink r:id="rId108" w:anchor="data-download" w:history="1">
        <w:r w:rsidRPr="00B2525C">
          <w:rPr>
            <w:rStyle w:val="Hyperlink"/>
            <w:rFonts w:cs="Arial"/>
          </w:rPr>
          <w:t>https://www.abs.gov.au/statistics/health/disability/disability-ageing-and-carers-australia-summary-findings/2018#data-download</w:t>
        </w:r>
      </w:hyperlink>
      <w:r w:rsidRPr="00B2525C">
        <w:rPr>
          <w:rFonts w:cs="Arial"/>
        </w:rPr>
        <w:t xml:space="preserve"> </w:t>
      </w:r>
    </w:p>
    <w:p w14:paraId="20F7DED8" w14:textId="77777777" w:rsidR="00EC4E90" w:rsidRPr="00B2525C" w:rsidRDefault="00B01D14" w:rsidP="00F8545E">
      <w:pPr>
        <w:rPr>
          <w:rFonts w:cs="Arial"/>
        </w:rPr>
      </w:pPr>
      <w:r w:rsidRPr="00B2525C">
        <w:rPr>
          <w:rFonts w:cs="Arial"/>
        </w:rPr>
        <w:t xml:space="preserve">Australian Bureau of Statistics, 2020, ‘Weekly Payroll Jobs and Wages in Australia’, Australian Government, Canberra. </w:t>
      </w:r>
      <w:hyperlink r:id="rId109">
        <w:r w:rsidRPr="00B2525C">
          <w:rPr>
            <w:rFonts w:cs="Arial"/>
          </w:rPr>
          <w:t>https://www.abs.gov.au/statistics/labour/earnings-and-work-hours/weekly-payroll-jobs-and-wages-australia/latest-release</w:t>
        </w:r>
      </w:hyperlink>
    </w:p>
    <w:p w14:paraId="602CB89E" w14:textId="77777777" w:rsidR="005B298D" w:rsidRPr="00B2525C" w:rsidRDefault="005B298D" w:rsidP="00F8545E">
      <w:pPr>
        <w:rPr>
          <w:rFonts w:cs="Arial"/>
        </w:rPr>
      </w:pPr>
      <w:r w:rsidRPr="00B2525C">
        <w:rPr>
          <w:rFonts w:cs="Arial"/>
        </w:rPr>
        <w:t xml:space="preserve">Australian Health Policy Collaboration, 2017, ‘Australia’s Health Tracker Atlas’, Victoria University and Torrens University, </w:t>
      </w:r>
      <w:hyperlink r:id="rId110" w:history="1">
        <w:r w:rsidRPr="00B2525C">
          <w:rPr>
            <w:rStyle w:val="Hyperlink"/>
            <w:rFonts w:cs="Arial"/>
            <w:color w:val="auto"/>
          </w:rPr>
          <w:t>https://atlasesaustralia.com.au/ahpc/</w:t>
        </w:r>
      </w:hyperlink>
      <w:r w:rsidRPr="00B2525C">
        <w:rPr>
          <w:rFonts w:cs="Arial"/>
        </w:rPr>
        <w:t xml:space="preserve">, </w:t>
      </w:r>
    </w:p>
    <w:p w14:paraId="2EB36F6C" w14:textId="77777777" w:rsidR="00EC4E90" w:rsidRPr="00B2525C" w:rsidRDefault="00B01D14" w:rsidP="00F8545E">
      <w:pPr>
        <w:rPr>
          <w:rFonts w:cs="Arial"/>
        </w:rPr>
      </w:pPr>
      <w:r w:rsidRPr="00B2525C">
        <w:rPr>
          <w:rFonts w:cs="Arial"/>
        </w:rPr>
        <w:t xml:space="preserve">Australian Institute of Health and </w:t>
      </w:r>
      <w:r w:rsidR="007569C4" w:rsidRPr="00B2525C">
        <w:rPr>
          <w:rFonts w:cs="Arial"/>
        </w:rPr>
        <w:t>Welfare</w:t>
      </w:r>
      <w:r w:rsidRPr="00B2525C">
        <w:rPr>
          <w:rFonts w:cs="Arial"/>
        </w:rPr>
        <w:t xml:space="preserve">, 2020, ‘Aged Care Service List’, Department of Health, Australian Government, Canberra, </w:t>
      </w:r>
      <w:hyperlink r:id="rId111">
        <w:r w:rsidRPr="00B2525C">
          <w:rPr>
            <w:rFonts w:cs="Arial"/>
          </w:rPr>
          <w:t>https://hwd.health.gov.au/datatool.html</w:t>
        </w:r>
      </w:hyperlink>
      <w:r w:rsidRPr="00B2525C">
        <w:rPr>
          <w:rFonts w:cs="Arial"/>
        </w:rPr>
        <w:t xml:space="preserve">, </w:t>
      </w:r>
    </w:p>
    <w:p w14:paraId="34C65CE6" w14:textId="77777777" w:rsidR="00EC4E90" w:rsidRPr="00B2525C" w:rsidRDefault="00B01D14" w:rsidP="00F8545E">
      <w:pPr>
        <w:rPr>
          <w:rFonts w:cs="Arial"/>
        </w:rPr>
      </w:pPr>
      <w:r w:rsidRPr="00B2525C">
        <w:rPr>
          <w:rFonts w:cs="Arial"/>
        </w:rPr>
        <w:t xml:space="preserve">Australian Institute of Health and </w:t>
      </w:r>
      <w:r w:rsidR="007569C4" w:rsidRPr="00B2525C">
        <w:rPr>
          <w:rFonts w:cs="Arial"/>
        </w:rPr>
        <w:t>Welfare</w:t>
      </w:r>
      <w:r w:rsidRPr="00B2525C">
        <w:rPr>
          <w:rFonts w:cs="Arial"/>
        </w:rPr>
        <w:t xml:space="preserve">, 2020, ‘Mortality Over Regions and Time’, Department of Health, Australian Government, Canberra, </w:t>
      </w:r>
      <w:hyperlink r:id="rId112">
        <w:r w:rsidRPr="00B2525C">
          <w:rPr>
            <w:rFonts w:cs="Arial"/>
          </w:rPr>
          <w:t>https://www.aihw.gov.au/reports/life-expectancy-death/mort-books/contents/mort-books</w:t>
        </w:r>
      </w:hyperlink>
      <w:r w:rsidRPr="00B2525C">
        <w:rPr>
          <w:rFonts w:cs="Arial"/>
        </w:rPr>
        <w:t xml:space="preserve">, </w:t>
      </w:r>
    </w:p>
    <w:p w14:paraId="38E6B527" w14:textId="77777777" w:rsidR="00EC4E90" w:rsidRPr="00B2525C" w:rsidRDefault="00B01D14" w:rsidP="00F8545E">
      <w:pPr>
        <w:rPr>
          <w:rFonts w:cs="Arial"/>
        </w:rPr>
      </w:pPr>
      <w:r w:rsidRPr="00B2525C">
        <w:rPr>
          <w:rFonts w:cs="Arial"/>
        </w:rPr>
        <w:t xml:space="preserve">Australian Institute of Health and </w:t>
      </w:r>
      <w:r w:rsidR="007569C4" w:rsidRPr="00B2525C">
        <w:rPr>
          <w:rFonts w:cs="Arial"/>
        </w:rPr>
        <w:t>Welfare</w:t>
      </w:r>
      <w:r w:rsidRPr="00B2525C">
        <w:rPr>
          <w:rFonts w:cs="Arial"/>
        </w:rPr>
        <w:t>, 2020</w:t>
      </w:r>
      <w:r w:rsidR="00681D11" w:rsidRPr="00B2525C">
        <w:rPr>
          <w:rFonts w:cs="Arial"/>
        </w:rPr>
        <w:t>.</w:t>
      </w:r>
      <w:r w:rsidRPr="00B2525C">
        <w:rPr>
          <w:rFonts w:cs="Arial"/>
        </w:rPr>
        <w:t xml:space="preserve"> ‘National Health Workforce Data Set’, Department of Health, Australian Government, Canberra, </w:t>
      </w:r>
      <w:hyperlink r:id="rId113">
        <w:r w:rsidRPr="00B2525C">
          <w:rPr>
            <w:rFonts w:cs="Arial"/>
          </w:rPr>
          <w:t>https://www.gen-agedcaredata.gov.au/resources/access-data/2019/september/aged-care-service-list-30-june-2019</w:t>
        </w:r>
      </w:hyperlink>
      <w:r w:rsidRPr="00B2525C">
        <w:rPr>
          <w:rFonts w:cs="Arial"/>
        </w:rPr>
        <w:t>, accessed 22 September 2020.</w:t>
      </w:r>
    </w:p>
    <w:p w14:paraId="05C06B98" w14:textId="77777777" w:rsidR="00EC4E90" w:rsidRPr="00B2525C" w:rsidRDefault="00B01D14" w:rsidP="00F8545E">
      <w:pPr>
        <w:rPr>
          <w:rFonts w:cs="Arial"/>
        </w:rPr>
      </w:pPr>
      <w:r w:rsidRPr="00B2525C">
        <w:rPr>
          <w:rFonts w:cs="Arial"/>
        </w:rPr>
        <w:lastRenderedPageBreak/>
        <w:t>Australian Institute of Health and Wel</w:t>
      </w:r>
      <w:r w:rsidR="007569C4" w:rsidRPr="00B2525C">
        <w:rPr>
          <w:rFonts w:cs="Arial"/>
        </w:rPr>
        <w:t>fare</w:t>
      </w:r>
      <w:r w:rsidRPr="00B2525C">
        <w:rPr>
          <w:rFonts w:cs="Arial"/>
        </w:rPr>
        <w:t xml:space="preserve">, 2020, ‘National cancer screening programs participation data’, Department of Health, Australian Government, Canberra, </w:t>
      </w:r>
      <w:hyperlink r:id="rId114">
        <w:r w:rsidRPr="00B2525C">
          <w:rPr>
            <w:rFonts w:cs="Arial"/>
          </w:rPr>
          <w:t>https://www.aihw.gov.au/reports/cancer-screening/national-cancer-screening-programs-participation/contents/summary</w:t>
        </w:r>
      </w:hyperlink>
      <w:r w:rsidRPr="00B2525C">
        <w:rPr>
          <w:rFonts w:cs="Arial"/>
        </w:rPr>
        <w:t xml:space="preserve">, </w:t>
      </w:r>
    </w:p>
    <w:p w14:paraId="41EC5234" w14:textId="77777777" w:rsidR="007569C4" w:rsidRPr="00B2525C" w:rsidRDefault="007569C4" w:rsidP="004961DF">
      <w:pPr>
        <w:shd w:val="clear" w:color="auto" w:fill="FFFFFF" w:themeFill="background1"/>
        <w:rPr>
          <w:rFonts w:cs="Arial"/>
        </w:rPr>
      </w:pPr>
      <w:r w:rsidRPr="00B2525C">
        <w:rPr>
          <w:rFonts w:cs="Arial"/>
          <w:shd w:val="clear" w:color="auto" w:fill="FFFFFF" w:themeFill="background1"/>
        </w:rPr>
        <w:t>Australian Institute of Health and Welfare</w:t>
      </w:r>
      <w:r w:rsidR="004961DF" w:rsidRPr="00B2525C">
        <w:rPr>
          <w:rFonts w:cs="Arial"/>
          <w:shd w:val="clear" w:color="auto" w:fill="FFFFFF" w:themeFill="background1"/>
        </w:rPr>
        <w:t>,</w:t>
      </w:r>
      <w:r w:rsidRPr="00B2525C">
        <w:rPr>
          <w:rFonts w:cs="Arial"/>
          <w:shd w:val="clear" w:color="auto" w:fill="FFFFFF" w:themeFill="background1"/>
        </w:rPr>
        <w:t xml:space="preserve"> 2021</w:t>
      </w:r>
      <w:r w:rsidR="004961DF" w:rsidRPr="00B2525C">
        <w:rPr>
          <w:rFonts w:cs="Arial"/>
          <w:shd w:val="clear" w:color="auto" w:fill="FFFFFF" w:themeFill="background1"/>
        </w:rPr>
        <w:t>,</w:t>
      </w:r>
      <w:r w:rsidRPr="00B2525C">
        <w:rPr>
          <w:rFonts w:cs="Arial"/>
          <w:shd w:val="clear" w:color="auto" w:fill="FFFFFF" w:themeFill="background1"/>
        </w:rPr>
        <w:t xml:space="preserve"> ‘Chronic</w:t>
      </w:r>
      <w:r w:rsidRPr="00B2525C">
        <w:rPr>
          <w:rFonts w:cs="Arial"/>
        </w:rPr>
        <w:t xml:space="preserve"> disease’  </w:t>
      </w:r>
      <w:hyperlink r:id="rId115" w:history="1">
        <w:r w:rsidR="00C71EE3" w:rsidRPr="00B2525C">
          <w:rPr>
            <w:rStyle w:val="Hyperlink"/>
            <w:rFonts w:cs="Arial"/>
            <w:color w:val="auto"/>
          </w:rPr>
          <w:t>https://www.aihw.gov.au/reports-data/health-conditions-disability-deaths/chronic-disease/overview</w:t>
        </w:r>
      </w:hyperlink>
      <w:r w:rsidRPr="00B2525C">
        <w:rPr>
          <w:rFonts w:cs="Arial"/>
        </w:rPr>
        <w:t>.</w:t>
      </w:r>
    </w:p>
    <w:p w14:paraId="221A6045" w14:textId="77777777" w:rsidR="00C71EE3" w:rsidRPr="00B2525C" w:rsidRDefault="00C71EE3" w:rsidP="004961DF">
      <w:pPr>
        <w:shd w:val="clear" w:color="auto" w:fill="FFFFFF" w:themeFill="background1"/>
        <w:rPr>
          <w:rFonts w:cs="Arial"/>
        </w:rPr>
      </w:pPr>
      <w:r w:rsidRPr="00B2525C">
        <w:rPr>
          <w:rFonts w:cs="Arial"/>
          <w:shd w:val="clear" w:color="auto" w:fill="FFFFFF" w:themeFill="background1"/>
        </w:rPr>
        <w:t>Australian Institute of Health and Welfare, 2021</w:t>
      </w:r>
      <w:r w:rsidR="004961DF" w:rsidRPr="00B2525C">
        <w:rPr>
          <w:rFonts w:cs="Arial"/>
          <w:shd w:val="clear" w:color="auto" w:fill="FFFFFF" w:themeFill="background1"/>
        </w:rPr>
        <w:t>,</w:t>
      </w:r>
      <w:r w:rsidRPr="00B2525C">
        <w:rPr>
          <w:rFonts w:cs="Arial"/>
          <w:shd w:val="clear" w:color="auto" w:fill="FFFFFF" w:themeFill="background1"/>
        </w:rPr>
        <w:t xml:space="preserve"> ‘Deaths in Australia’</w:t>
      </w:r>
      <w:r w:rsidRPr="00B2525C">
        <w:rPr>
          <w:rFonts w:cs="Arial"/>
          <w:shd w:val="clear" w:color="auto" w:fill="F7F5F2"/>
        </w:rPr>
        <w:t xml:space="preserve"> </w:t>
      </w:r>
      <w:r w:rsidRPr="00B2525C">
        <w:rPr>
          <w:rFonts w:cs="Arial"/>
        </w:rPr>
        <w:t xml:space="preserve"> (</w:t>
      </w:r>
      <w:hyperlink r:id="rId116" w:history="1">
        <w:r w:rsidRPr="00B2525C">
          <w:rPr>
            <w:rStyle w:val="Hyperlink"/>
            <w:rFonts w:cs="Arial"/>
            <w:color w:val="auto"/>
          </w:rPr>
          <w:t>https://www.aihw.gov.au/reports/life-expectancy-death/deaths-in-australia/contents/leading-causes-of-death</w:t>
        </w:r>
      </w:hyperlink>
      <w:r w:rsidRPr="00B2525C">
        <w:rPr>
          <w:rFonts w:cs="Arial"/>
        </w:rPr>
        <w:t>).</w:t>
      </w:r>
    </w:p>
    <w:p w14:paraId="68EC0690" w14:textId="77777777" w:rsidR="00677358" w:rsidRPr="00B2525C" w:rsidRDefault="004961DF" w:rsidP="00677358">
      <w:pPr>
        <w:shd w:val="clear" w:color="auto" w:fill="FFFFFF" w:themeFill="background1"/>
        <w:spacing w:after="0"/>
        <w:rPr>
          <w:rFonts w:cs="Arial"/>
          <w:shd w:val="clear" w:color="auto" w:fill="FFFFFF" w:themeFill="background1"/>
        </w:rPr>
      </w:pPr>
      <w:r w:rsidRPr="00B2525C">
        <w:rPr>
          <w:rFonts w:cs="Arial"/>
          <w:shd w:val="clear" w:color="auto" w:fill="FFFFFF" w:themeFill="background1"/>
        </w:rPr>
        <w:t>Australian Institute of Health and Welfare, 2016,</w:t>
      </w:r>
      <w:r w:rsidR="00677358" w:rsidRPr="00B2525C">
        <w:rPr>
          <w:rFonts w:cs="Arial"/>
          <w:shd w:val="clear" w:color="auto" w:fill="FFFFFF" w:themeFill="background1"/>
        </w:rPr>
        <w:t xml:space="preserve"> ‘4.1 Social determinants of health’ </w:t>
      </w:r>
    </w:p>
    <w:p w14:paraId="41C4B7CD" w14:textId="77777777" w:rsidR="004961DF" w:rsidRPr="00B2525C" w:rsidRDefault="0082346F" w:rsidP="00677358">
      <w:pPr>
        <w:spacing w:after="0"/>
        <w:rPr>
          <w:rFonts w:cs="Arial"/>
        </w:rPr>
      </w:pPr>
      <w:hyperlink r:id="rId117" w:history="1">
        <w:r w:rsidR="00BA32C6" w:rsidRPr="00B2525C">
          <w:rPr>
            <w:rStyle w:val="Hyperlink"/>
            <w:rFonts w:cs="Arial"/>
          </w:rPr>
          <w:t>https://www.aihw.gov.au/reports/australias-health/australias-health-2016/contents/chapter-4-determinants-of-health</w:t>
        </w:r>
      </w:hyperlink>
    </w:p>
    <w:p w14:paraId="32CC061F" w14:textId="77777777" w:rsidR="00BA32C6" w:rsidRPr="00B2525C" w:rsidRDefault="00BA32C6" w:rsidP="00BA32C6">
      <w:pPr>
        <w:rPr>
          <w:rFonts w:cs="Arial"/>
        </w:rPr>
      </w:pPr>
      <w:r w:rsidRPr="00B2525C">
        <w:rPr>
          <w:rFonts w:cs="Arial"/>
        </w:rPr>
        <w:t xml:space="preserve">Australian Institute of Health and Welfare, </w:t>
      </w:r>
      <w:r w:rsidRPr="00B2525C">
        <w:rPr>
          <w:rFonts w:cs="Arial"/>
          <w:i/>
        </w:rPr>
        <w:t xml:space="preserve">Family, domestic and sexual violence in Australia 2018. </w:t>
      </w:r>
      <w:r w:rsidRPr="00B2525C">
        <w:rPr>
          <w:rFonts w:cs="Arial"/>
        </w:rPr>
        <w:t>Cat. no. FDV 2. Australian Government, Canberra 2018.</w:t>
      </w:r>
    </w:p>
    <w:p w14:paraId="58139426" w14:textId="77777777" w:rsidR="00D24FD6" w:rsidRPr="00B2525C" w:rsidRDefault="00D24FD6" w:rsidP="00BA32C6">
      <w:pPr>
        <w:shd w:val="clear" w:color="auto" w:fill="FFFFFF" w:themeFill="background1"/>
        <w:spacing w:after="0"/>
        <w:rPr>
          <w:rFonts w:cs="Arial"/>
        </w:rPr>
      </w:pPr>
      <w:r w:rsidRPr="00B2525C">
        <w:rPr>
          <w:rFonts w:cs="Arial"/>
        </w:rPr>
        <w:t>Better Health Channel,</w:t>
      </w:r>
      <w:r w:rsidR="004961DF" w:rsidRPr="00B2525C">
        <w:rPr>
          <w:rFonts w:cs="Arial"/>
        </w:rPr>
        <w:t xml:space="preserve"> </w:t>
      </w:r>
      <w:proofErr w:type="gramStart"/>
      <w:r w:rsidR="004961DF" w:rsidRPr="00B2525C">
        <w:rPr>
          <w:rFonts w:cs="Arial"/>
        </w:rPr>
        <w:t xml:space="preserve">2018, </w:t>
      </w:r>
      <w:r w:rsidRPr="00B2525C">
        <w:rPr>
          <w:rFonts w:cs="Arial"/>
        </w:rPr>
        <w:t xml:space="preserve"> ‘</w:t>
      </w:r>
      <w:proofErr w:type="gramEnd"/>
      <w:r w:rsidRPr="00B2525C">
        <w:rPr>
          <w:rFonts w:cs="Arial"/>
        </w:rPr>
        <w:t>Physical activity – it’s important’</w:t>
      </w:r>
      <w:r w:rsidR="004961DF" w:rsidRPr="00B2525C">
        <w:rPr>
          <w:rFonts w:cs="Arial"/>
        </w:rPr>
        <w:t xml:space="preserve">, </w:t>
      </w:r>
      <w:r w:rsidRPr="00B2525C">
        <w:rPr>
          <w:rFonts w:cs="Arial"/>
        </w:rPr>
        <w:t>Victorian Government, Melbourne,</w:t>
      </w:r>
    </w:p>
    <w:p w14:paraId="02275B30" w14:textId="77777777" w:rsidR="00C92E80" w:rsidRPr="00B2525C" w:rsidRDefault="00D24FD6" w:rsidP="00BA32C6">
      <w:pPr>
        <w:shd w:val="clear" w:color="auto" w:fill="FFFFFF" w:themeFill="background1"/>
        <w:spacing w:after="0"/>
        <w:rPr>
          <w:rFonts w:cs="Arial"/>
        </w:rPr>
      </w:pPr>
      <w:r w:rsidRPr="00B2525C">
        <w:rPr>
          <w:rFonts w:cs="Arial"/>
        </w:rPr>
        <w:t>&lt;</w:t>
      </w:r>
      <w:hyperlink r:id="rId118">
        <w:r w:rsidRPr="00B2525C">
          <w:rPr>
            <w:rFonts w:cs="Arial"/>
            <w:color w:val="0462C1"/>
            <w:u w:val="single" w:color="0462C1"/>
          </w:rPr>
          <w:t>https://www.betterhealth.vic.gov.au/health/healthyliving/physical-activity-its-important</w:t>
        </w:r>
      </w:hyperlink>
      <w:r w:rsidRPr="00B2525C">
        <w:rPr>
          <w:rFonts w:cs="Arial"/>
        </w:rPr>
        <w:t>&gt;</w:t>
      </w:r>
    </w:p>
    <w:p w14:paraId="3AE1EAB3" w14:textId="77777777" w:rsidR="007F5DE9" w:rsidRPr="00B2525C" w:rsidRDefault="00D731FE" w:rsidP="00F8545E">
      <w:pPr>
        <w:rPr>
          <w:rFonts w:cs="Arial"/>
        </w:rPr>
      </w:pPr>
      <w:r w:rsidRPr="00B2525C">
        <w:rPr>
          <w:rFonts w:cs="Arial"/>
        </w:rPr>
        <w:t xml:space="preserve">Better health Channel, 2019. </w:t>
      </w:r>
      <w:r w:rsidR="00677358" w:rsidRPr="00B2525C">
        <w:rPr>
          <w:rFonts w:cs="Arial"/>
        </w:rPr>
        <w:t>‘</w:t>
      </w:r>
      <w:r w:rsidRPr="00B2525C">
        <w:rPr>
          <w:rFonts w:cs="Arial"/>
        </w:rPr>
        <w:t>Smoking- effects on your body</w:t>
      </w:r>
      <w:r w:rsidR="00677358" w:rsidRPr="00B2525C">
        <w:rPr>
          <w:rFonts w:cs="Arial"/>
        </w:rPr>
        <w:t>’</w:t>
      </w:r>
      <w:r w:rsidRPr="00B2525C">
        <w:rPr>
          <w:rFonts w:cs="Arial"/>
        </w:rPr>
        <w:t xml:space="preserve"> https://www.betterhealth.vic.gov.au/health/healthyliving/smoking-effects-on-your-body</w:t>
      </w:r>
    </w:p>
    <w:p w14:paraId="07F59998" w14:textId="77777777" w:rsidR="007F5DE9" w:rsidRPr="00B2525C" w:rsidRDefault="00041E7C" w:rsidP="00F8545E">
      <w:pPr>
        <w:rPr>
          <w:rFonts w:cs="Arial"/>
        </w:rPr>
      </w:pPr>
      <w:r w:rsidRPr="00B2525C">
        <w:rPr>
          <w:rFonts w:cs="Arial"/>
          <w:color w:val="222222"/>
          <w:shd w:val="clear" w:color="auto" w:fill="FFFFFF"/>
        </w:rPr>
        <w:t xml:space="preserve">Brown, B.B., Yamada, I., Smith, K.R., </w:t>
      </w:r>
      <w:proofErr w:type="spellStart"/>
      <w:r w:rsidRPr="00B2525C">
        <w:rPr>
          <w:rFonts w:cs="Arial"/>
          <w:color w:val="222222"/>
          <w:shd w:val="clear" w:color="auto" w:fill="FFFFFF"/>
        </w:rPr>
        <w:t>Zick</w:t>
      </w:r>
      <w:proofErr w:type="spellEnd"/>
      <w:r w:rsidRPr="00B2525C">
        <w:rPr>
          <w:rFonts w:cs="Arial"/>
          <w:color w:val="222222"/>
          <w:shd w:val="clear" w:color="auto" w:fill="FFFFFF"/>
        </w:rPr>
        <w:t xml:space="preserve">, C.D., </w:t>
      </w:r>
      <w:proofErr w:type="spellStart"/>
      <w:r w:rsidRPr="00B2525C">
        <w:rPr>
          <w:rFonts w:cs="Arial"/>
          <w:color w:val="222222"/>
          <w:shd w:val="clear" w:color="auto" w:fill="FFFFFF"/>
        </w:rPr>
        <w:t>Kowaleski</w:t>
      </w:r>
      <w:proofErr w:type="spellEnd"/>
      <w:r w:rsidRPr="00B2525C">
        <w:rPr>
          <w:rFonts w:cs="Arial"/>
          <w:color w:val="222222"/>
          <w:shd w:val="clear" w:color="auto" w:fill="FFFFFF"/>
        </w:rPr>
        <w:t>-Jones, L. and Fan, J.X., 2009. Mixed land use and walkability: Variations in land use measures and relationships with BMI, overweight, and obesity. </w:t>
      </w:r>
      <w:r w:rsidRPr="00B2525C">
        <w:rPr>
          <w:rFonts w:cs="Arial"/>
          <w:i/>
          <w:iCs/>
          <w:color w:val="222222"/>
          <w:shd w:val="clear" w:color="auto" w:fill="FFFFFF"/>
        </w:rPr>
        <w:t>Health &amp; place</w:t>
      </w:r>
      <w:r w:rsidRPr="00B2525C">
        <w:rPr>
          <w:rFonts w:cs="Arial"/>
          <w:color w:val="222222"/>
          <w:shd w:val="clear" w:color="auto" w:fill="FFFFFF"/>
        </w:rPr>
        <w:t>, </w:t>
      </w:r>
      <w:r w:rsidRPr="00B2525C">
        <w:rPr>
          <w:rFonts w:cs="Arial"/>
          <w:i/>
          <w:iCs/>
          <w:color w:val="222222"/>
          <w:shd w:val="clear" w:color="auto" w:fill="FFFFFF"/>
        </w:rPr>
        <w:t>15</w:t>
      </w:r>
      <w:r w:rsidRPr="00B2525C">
        <w:rPr>
          <w:rFonts w:cs="Arial"/>
          <w:color w:val="222222"/>
          <w:shd w:val="clear" w:color="auto" w:fill="FFFFFF"/>
        </w:rPr>
        <w:t>(4), pp.1130-1141.</w:t>
      </w:r>
    </w:p>
    <w:p w14:paraId="7412080D" w14:textId="77777777" w:rsidR="00364B32" w:rsidRPr="00B2525C" w:rsidRDefault="00364B32" w:rsidP="00F8545E">
      <w:pPr>
        <w:rPr>
          <w:rFonts w:cs="Arial"/>
        </w:rPr>
      </w:pPr>
      <w:r w:rsidRPr="00B2525C">
        <w:rPr>
          <w:rFonts w:cs="Arial"/>
        </w:rPr>
        <w:t>Camacho, D</w:t>
      </w:r>
      <w:r w:rsidR="00681D11" w:rsidRPr="00B2525C">
        <w:rPr>
          <w:rFonts w:cs="Arial"/>
        </w:rPr>
        <w:t xml:space="preserve">., 1999, </w:t>
      </w:r>
      <w:r w:rsidRPr="00B2525C">
        <w:rPr>
          <w:rFonts w:cs="Arial"/>
        </w:rPr>
        <w:t xml:space="preserve">The social, economic and industrial issues specific to migrant workers over 45 Years of age seeking employment, or establishing a business, following Unemployment (a quantitative approach), Standing Committee </w:t>
      </w:r>
      <w:proofErr w:type="gramStart"/>
      <w:r w:rsidRPr="00B2525C">
        <w:rPr>
          <w:rFonts w:cs="Arial"/>
        </w:rPr>
        <w:t>On</w:t>
      </w:r>
      <w:proofErr w:type="gramEnd"/>
      <w:r w:rsidRPr="00B2525C">
        <w:rPr>
          <w:rFonts w:cs="Arial"/>
        </w:rPr>
        <w:t xml:space="preserve"> Employment, Education And</w:t>
      </w:r>
      <w:r w:rsidR="00681D11" w:rsidRPr="00B2525C">
        <w:rPr>
          <w:rFonts w:cs="Arial"/>
        </w:rPr>
        <w:t xml:space="preserve"> </w:t>
      </w:r>
      <w:r w:rsidRPr="00B2525C">
        <w:rPr>
          <w:rFonts w:cs="Arial"/>
        </w:rPr>
        <w:t>Work Place Relations (Submission 33)</w:t>
      </w:r>
      <w:r w:rsidR="00681D11" w:rsidRPr="00B2525C">
        <w:rPr>
          <w:rFonts w:cs="Arial"/>
        </w:rPr>
        <w:t xml:space="preserve">, </w:t>
      </w:r>
      <w:r w:rsidRPr="00B2525C">
        <w:rPr>
          <w:rFonts w:cs="Arial"/>
        </w:rPr>
        <w:t>Australian Parliament House, Canberra</w:t>
      </w:r>
    </w:p>
    <w:p w14:paraId="72CBBE86" w14:textId="77777777" w:rsidR="000F7117" w:rsidRPr="00B2525C" w:rsidRDefault="000F7117" w:rsidP="00677358">
      <w:pPr>
        <w:spacing w:after="0"/>
        <w:rPr>
          <w:rFonts w:cs="Arial"/>
        </w:rPr>
      </w:pPr>
      <w:r w:rsidRPr="00B2525C">
        <w:rPr>
          <w:rFonts w:cs="Arial"/>
          <w:lang w:eastAsia="en-AU"/>
        </w:rPr>
        <w:t>Coroners Court Victoria, 2020. ‘</w:t>
      </w:r>
      <w:r w:rsidRPr="00B2525C">
        <w:rPr>
          <w:rFonts w:cs="Arial"/>
        </w:rPr>
        <w:t>No increase in Victorian suicides under COVID-19, shows new coronial report’</w:t>
      </w:r>
    </w:p>
    <w:p w14:paraId="0D5918CA" w14:textId="77777777" w:rsidR="00364B32" w:rsidRPr="00B2525C" w:rsidRDefault="000F7117" w:rsidP="00677358">
      <w:pPr>
        <w:spacing w:after="0"/>
        <w:rPr>
          <w:rFonts w:cs="Arial"/>
        </w:rPr>
      </w:pPr>
      <w:r w:rsidRPr="00B2525C">
        <w:rPr>
          <w:rFonts w:cs="Arial"/>
          <w:lang w:eastAsia="en-AU"/>
        </w:rPr>
        <w:t xml:space="preserve"> https://www.coronerscourt.vic.gov.au/no-increase-victorian-suicides-under-covid-19-shows-new-coronial-report report)</w:t>
      </w:r>
    </w:p>
    <w:p w14:paraId="2E18A579" w14:textId="77777777" w:rsidR="00364B32" w:rsidRPr="00B2525C" w:rsidRDefault="00041E7C" w:rsidP="00F8545E">
      <w:pPr>
        <w:rPr>
          <w:rFonts w:cs="Arial"/>
        </w:rPr>
      </w:pPr>
      <w:r w:rsidRPr="00B2525C">
        <w:rPr>
          <w:rFonts w:cs="Arial"/>
          <w:color w:val="222222"/>
          <w:shd w:val="clear" w:color="auto" w:fill="FFFFFF"/>
        </w:rPr>
        <w:t xml:space="preserve">Costello, A., Abbas, M., Allen, A., Ball, S., Bell, S., Bellamy, R., Friel, S., </w:t>
      </w:r>
      <w:proofErr w:type="spellStart"/>
      <w:r w:rsidRPr="00B2525C">
        <w:rPr>
          <w:rFonts w:cs="Arial"/>
          <w:color w:val="222222"/>
          <w:shd w:val="clear" w:color="auto" w:fill="FFFFFF"/>
        </w:rPr>
        <w:t>Groce</w:t>
      </w:r>
      <w:proofErr w:type="spellEnd"/>
      <w:r w:rsidRPr="00B2525C">
        <w:rPr>
          <w:rFonts w:cs="Arial"/>
          <w:color w:val="222222"/>
          <w:shd w:val="clear" w:color="auto" w:fill="FFFFFF"/>
        </w:rPr>
        <w:t>, N., Johnson, A., Kett, M. and Lee, M., 2009. Managing the health effects of climate change: lancet and University College London Institute for Global Health Commission. </w:t>
      </w:r>
      <w:r w:rsidRPr="00B2525C">
        <w:rPr>
          <w:rFonts w:cs="Arial"/>
          <w:i/>
          <w:iCs/>
          <w:color w:val="222222"/>
          <w:shd w:val="clear" w:color="auto" w:fill="FFFFFF"/>
        </w:rPr>
        <w:t>The lancet</w:t>
      </w:r>
      <w:r w:rsidRPr="00B2525C">
        <w:rPr>
          <w:rFonts w:cs="Arial"/>
          <w:color w:val="222222"/>
          <w:shd w:val="clear" w:color="auto" w:fill="FFFFFF"/>
        </w:rPr>
        <w:t>, </w:t>
      </w:r>
      <w:r w:rsidRPr="00B2525C">
        <w:rPr>
          <w:rFonts w:cs="Arial"/>
          <w:i/>
          <w:iCs/>
          <w:color w:val="222222"/>
          <w:shd w:val="clear" w:color="auto" w:fill="FFFFFF"/>
        </w:rPr>
        <w:t>373</w:t>
      </w:r>
      <w:r w:rsidRPr="00B2525C">
        <w:rPr>
          <w:rFonts w:cs="Arial"/>
          <w:color w:val="222222"/>
          <w:shd w:val="clear" w:color="auto" w:fill="FFFFFF"/>
        </w:rPr>
        <w:t>(9676), pp.1693-1733.</w:t>
      </w:r>
    </w:p>
    <w:p w14:paraId="0290CD41" w14:textId="77777777" w:rsidR="00EC4E90" w:rsidRPr="00B2525C" w:rsidRDefault="00B01D14" w:rsidP="00F8545E">
      <w:pPr>
        <w:rPr>
          <w:rFonts w:cs="Arial"/>
        </w:rPr>
      </w:pPr>
      <w:r w:rsidRPr="00B2525C">
        <w:rPr>
          <w:rFonts w:cs="Arial"/>
        </w:rPr>
        <w:t xml:space="preserve">Crime Statistics Agency, 2020, ‘Latest Victorian Crime Data’, Victorian Government, Melbourne, </w:t>
      </w:r>
      <w:hyperlink r:id="rId119">
        <w:r w:rsidRPr="00B2525C">
          <w:rPr>
            <w:rFonts w:cs="Arial"/>
          </w:rPr>
          <w:t>https://www.crimestatistics.vic.gov.au/crime-statistics/latest-victorian-crime-data</w:t>
        </w:r>
      </w:hyperlink>
      <w:r w:rsidRPr="00B2525C">
        <w:rPr>
          <w:rFonts w:cs="Arial"/>
        </w:rPr>
        <w:t>, accessed 22 September 2020.</w:t>
      </w:r>
    </w:p>
    <w:p w14:paraId="081EF63B" w14:textId="77777777" w:rsidR="00E37EA5" w:rsidRPr="00B2525C" w:rsidRDefault="00E37EA5" w:rsidP="00F8545E">
      <w:pPr>
        <w:rPr>
          <w:rFonts w:cs="Arial"/>
          <w:color w:val="222222"/>
          <w:shd w:val="clear" w:color="auto" w:fill="FFFFFF"/>
        </w:rPr>
      </w:pPr>
      <w:r w:rsidRPr="00B2525C">
        <w:rPr>
          <w:rFonts w:cs="Arial"/>
          <w:color w:val="222222"/>
          <w:shd w:val="clear" w:color="auto" w:fill="FFFFFF"/>
        </w:rPr>
        <w:t>Dahlgren, G., &amp; Whitehead, M.</w:t>
      </w:r>
      <w:r w:rsidR="00681D11" w:rsidRPr="00B2525C">
        <w:rPr>
          <w:rFonts w:cs="Arial"/>
          <w:color w:val="222222"/>
          <w:shd w:val="clear" w:color="auto" w:fill="FFFFFF"/>
        </w:rPr>
        <w:t>,</w:t>
      </w:r>
      <w:r w:rsidRPr="00B2525C">
        <w:rPr>
          <w:rFonts w:cs="Arial"/>
          <w:color w:val="222222"/>
          <w:shd w:val="clear" w:color="auto" w:fill="FFFFFF"/>
        </w:rPr>
        <w:t xml:space="preserve"> 1991</w:t>
      </w:r>
      <w:r w:rsidR="00681D11" w:rsidRPr="00B2525C">
        <w:rPr>
          <w:rFonts w:cs="Arial"/>
          <w:color w:val="222222"/>
          <w:shd w:val="clear" w:color="auto" w:fill="FFFFFF"/>
        </w:rPr>
        <w:t>,</w:t>
      </w:r>
      <w:r w:rsidRPr="00B2525C">
        <w:rPr>
          <w:rFonts w:cs="Arial"/>
          <w:color w:val="222222"/>
          <w:shd w:val="clear" w:color="auto" w:fill="FFFFFF"/>
        </w:rPr>
        <w:t xml:space="preserve"> Rainbow model of health. In </w:t>
      </w:r>
      <w:r w:rsidRPr="00B2525C">
        <w:rPr>
          <w:rFonts w:cs="Arial"/>
          <w:i/>
          <w:iCs/>
          <w:color w:val="222222"/>
          <w:shd w:val="clear" w:color="auto" w:fill="FFFFFF"/>
        </w:rPr>
        <w:t>European Health Policy conference: opportunities for the future</w:t>
      </w:r>
      <w:r w:rsidRPr="00B2525C">
        <w:rPr>
          <w:rFonts w:cs="Arial"/>
          <w:color w:val="222222"/>
          <w:shd w:val="clear" w:color="auto" w:fill="FFFFFF"/>
        </w:rPr>
        <w:t> (Vol. 11).</w:t>
      </w:r>
    </w:p>
    <w:p w14:paraId="26D8F115" w14:textId="77777777" w:rsidR="001C6D8F" w:rsidRPr="00B2525C" w:rsidRDefault="001C6D8F" w:rsidP="00F8545E">
      <w:pPr>
        <w:rPr>
          <w:rFonts w:cs="Arial"/>
        </w:rPr>
      </w:pPr>
      <w:proofErr w:type="spellStart"/>
      <w:r w:rsidRPr="00B2525C">
        <w:rPr>
          <w:rFonts w:cs="Arial"/>
          <w:color w:val="222222"/>
          <w:shd w:val="clear" w:color="auto" w:fill="FFFFFF"/>
        </w:rPr>
        <w:t>Davern</w:t>
      </w:r>
      <w:proofErr w:type="spellEnd"/>
      <w:r w:rsidRPr="00B2525C">
        <w:rPr>
          <w:rFonts w:cs="Arial"/>
          <w:color w:val="222222"/>
          <w:shd w:val="clear" w:color="auto" w:fill="FFFFFF"/>
        </w:rPr>
        <w:t>, M., Farrar, A., Kendal, D. and Giles-</w:t>
      </w:r>
      <w:proofErr w:type="spellStart"/>
      <w:r w:rsidRPr="00B2525C">
        <w:rPr>
          <w:rFonts w:cs="Arial"/>
          <w:color w:val="222222"/>
          <w:shd w:val="clear" w:color="auto" w:fill="FFFFFF"/>
        </w:rPr>
        <w:t>Corti</w:t>
      </w:r>
      <w:proofErr w:type="spellEnd"/>
      <w:r w:rsidRPr="00B2525C">
        <w:rPr>
          <w:rFonts w:cs="Arial"/>
          <w:color w:val="222222"/>
          <w:shd w:val="clear" w:color="auto" w:fill="FFFFFF"/>
        </w:rPr>
        <w:t>, B., 2017. Quality green space supporting health, wellbeing and biodiversity: A literature review.</w:t>
      </w:r>
    </w:p>
    <w:p w14:paraId="6BA56D36" w14:textId="77777777" w:rsidR="00677358" w:rsidRPr="00B2525C" w:rsidRDefault="00677358" w:rsidP="00F8545E">
      <w:pPr>
        <w:rPr>
          <w:rFonts w:cs="Arial"/>
        </w:rPr>
      </w:pPr>
      <w:r w:rsidRPr="00B2525C">
        <w:rPr>
          <w:rFonts w:cs="Arial"/>
        </w:rPr>
        <w:lastRenderedPageBreak/>
        <w:t>Dental Health Services Victoria, 2020, ‘</w:t>
      </w:r>
      <w:r w:rsidRPr="00B2525C">
        <w:rPr>
          <w:rFonts w:cs="Arial"/>
          <w:i/>
        </w:rPr>
        <w:t>City of Moonee Valley Oral Health Profile’</w:t>
      </w:r>
      <w:r w:rsidRPr="00B2525C">
        <w:rPr>
          <w:rFonts w:cs="Arial"/>
        </w:rPr>
        <w:t>, Department of Health and Human Services, Victorian Government, Melbourne.</w:t>
      </w:r>
    </w:p>
    <w:p w14:paraId="445BA338" w14:textId="77777777" w:rsidR="00EC4E90" w:rsidRPr="00B2525C" w:rsidRDefault="00B01D14" w:rsidP="00F8545E">
      <w:pPr>
        <w:rPr>
          <w:rFonts w:cs="Arial"/>
        </w:rPr>
      </w:pPr>
      <w:r w:rsidRPr="00B2525C">
        <w:rPr>
          <w:rFonts w:cs="Arial"/>
        </w:rPr>
        <w:t xml:space="preserve">Department of Education, Skills and Employment, 2020, ‘Small Area Labour Markets’, Australian Government, Canberra, </w:t>
      </w:r>
      <w:hyperlink r:id="rId120">
        <w:r w:rsidRPr="00B2525C">
          <w:rPr>
            <w:rFonts w:cs="Arial"/>
          </w:rPr>
          <w:t>https://www.employment.gov.au/small-area-labour-markets-publication-0</w:t>
        </w:r>
      </w:hyperlink>
      <w:r w:rsidRPr="00B2525C">
        <w:rPr>
          <w:rFonts w:cs="Arial"/>
        </w:rPr>
        <w:t>, accessed 22 September 2020.</w:t>
      </w:r>
    </w:p>
    <w:p w14:paraId="0A918179" w14:textId="77777777" w:rsidR="00382BDD" w:rsidRPr="00B2525C" w:rsidRDefault="00B01D14" w:rsidP="00F8545E">
      <w:pPr>
        <w:rPr>
          <w:rFonts w:cs="Arial"/>
        </w:rPr>
      </w:pPr>
      <w:r w:rsidRPr="00B2525C">
        <w:rPr>
          <w:rFonts w:cs="Arial"/>
        </w:rPr>
        <w:t xml:space="preserve">Department of Environment, Land, Water and Planning, 2020, </w:t>
      </w:r>
      <w:r w:rsidRPr="00B2525C">
        <w:rPr>
          <w:rFonts w:cs="Arial"/>
          <w:i/>
        </w:rPr>
        <w:t xml:space="preserve">Heat </w:t>
      </w:r>
      <w:r w:rsidR="00681D11" w:rsidRPr="00B2525C">
        <w:rPr>
          <w:rFonts w:cs="Arial"/>
          <w:i/>
        </w:rPr>
        <w:t>Vulnerability</w:t>
      </w:r>
      <w:r w:rsidRPr="00B2525C">
        <w:rPr>
          <w:rFonts w:cs="Arial"/>
          <w:i/>
        </w:rPr>
        <w:t xml:space="preserve"> Index</w:t>
      </w:r>
      <w:r w:rsidRPr="00B2525C">
        <w:rPr>
          <w:rFonts w:cs="Arial"/>
        </w:rPr>
        <w:t>, Victorian Government, Melbourne.</w:t>
      </w:r>
    </w:p>
    <w:p w14:paraId="0B20C88A" w14:textId="77777777" w:rsidR="00681D11" w:rsidRPr="00B2525C" w:rsidRDefault="00D731FE" w:rsidP="00F8545E">
      <w:pPr>
        <w:rPr>
          <w:rFonts w:cs="Arial"/>
        </w:rPr>
      </w:pPr>
      <w:r w:rsidRPr="00B2525C">
        <w:rPr>
          <w:rFonts w:cs="Arial"/>
        </w:rPr>
        <w:t>Department of Health, 2020</w:t>
      </w:r>
      <w:r w:rsidR="0029000B" w:rsidRPr="00B2525C">
        <w:rPr>
          <w:rFonts w:cs="Arial"/>
        </w:rPr>
        <w:t xml:space="preserve">. </w:t>
      </w:r>
      <w:r w:rsidR="00677358" w:rsidRPr="00B2525C">
        <w:rPr>
          <w:rFonts w:cs="Arial"/>
        </w:rPr>
        <w:t>‘</w:t>
      </w:r>
      <w:r w:rsidRPr="00B2525C">
        <w:rPr>
          <w:rFonts w:cs="Arial"/>
        </w:rPr>
        <w:t>What are the effects of alcohol?</w:t>
      </w:r>
      <w:r w:rsidR="00677358" w:rsidRPr="00B2525C">
        <w:rPr>
          <w:rFonts w:cs="Arial"/>
        </w:rPr>
        <w:t>’</w:t>
      </w:r>
      <w:r w:rsidRPr="00B2525C">
        <w:rPr>
          <w:rFonts w:cs="Arial"/>
        </w:rPr>
        <w:t xml:space="preserve"> Australian Government, Canberra https://www.health.gov.au/health-topics/alcohol/about-alcohol/what-are-the-effects-of-alcohol</w:t>
      </w:r>
    </w:p>
    <w:p w14:paraId="03BA17D9" w14:textId="77777777" w:rsidR="00677358" w:rsidRPr="00B2525C" w:rsidRDefault="00677358" w:rsidP="00677358">
      <w:pPr>
        <w:rPr>
          <w:rFonts w:cs="Arial"/>
        </w:rPr>
      </w:pPr>
      <w:r w:rsidRPr="00B2525C">
        <w:rPr>
          <w:rFonts w:cs="Arial"/>
        </w:rPr>
        <w:t xml:space="preserve">Department of Health, 2021, ‘Victorian coronavirus data’, Victorian Government, Melbourne, </w:t>
      </w:r>
      <w:hyperlink r:id="rId121" w:history="1">
        <w:r w:rsidRPr="00B2525C">
          <w:rPr>
            <w:rStyle w:val="Hyperlink"/>
            <w:rFonts w:cs="Arial"/>
            <w:color w:val="auto"/>
          </w:rPr>
          <w:t>https://discover.data.vic.gov.au/dataset/victorian-coronavirus-data</w:t>
        </w:r>
      </w:hyperlink>
    </w:p>
    <w:p w14:paraId="15319EC6" w14:textId="77777777" w:rsidR="00215922" w:rsidRPr="00B2525C" w:rsidRDefault="00215922" w:rsidP="00215922">
      <w:pPr>
        <w:rPr>
          <w:rFonts w:cs="Arial"/>
        </w:rPr>
      </w:pPr>
      <w:r w:rsidRPr="00B2525C">
        <w:rPr>
          <w:rFonts w:eastAsia="Times New Roman" w:cs="Arial"/>
          <w:lang w:eastAsia="en-AU"/>
        </w:rPr>
        <w:t xml:space="preserve">Department of Health, 2021. </w:t>
      </w:r>
      <w:r w:rsidRPr="00B2525C">
        <w:rPr>
          <w:rFonts w:cs="Arial"/>
        </w:rPr>
        <w:t xml:space="preserve"> Health and Human Services Adaptation Action Plan 2022-2026</w:t>
      </w:r>
    </w:p>
    <w:p w14:paraId="2BA4DB96" w14:textId="77777777" w:rsidR="00677358" w:rsidRPr="00B2525C" w:rsidRDefault="00677358" w:rsidP="00F8545E">
      <w:pPr>
        <w:rPr>
          <w:rFonts w:cs="Arial"/>
        </w:rPr>
      </w:pPr>
    </w:p>
    <w:p w14:paraId="6E88D22C" w14:textId="77777777" w:rsidR="00677358" w:rsidRPr="00B2525C" w:rsidRDefault="00677358" w:rsidP="00677358">
      <w:pPr>
        <w:rPr>
          <w:rFonts w:cs="Arial"/>
          <w:color w:val="343434"/>
        </w:rPr>
      </w:pPr>
      <w:r w:rsidRPr="00B2525C">
        <w:rPr>
          <w:rFonts w:cs="Arial"/>
          <w:color w:val="222222"/>
          <w:shd w:val="clear" w:color="auto" w:fill="FFFFFF"/>
        </w:rPr>
        <w:t>Department of Health and Human Services</w:t>
      </w:r>
      <w:r w:rsidRPr="00B2525C">
        <w:rPr>
          <w:rFonts w:cs="Arial"/>
          <w:lang w:eastAsia="en-AU"/>
        </w:rPr>
        <w:t>, 2018.</w:t>
      </w:r>
      <w:r w:rsidRPr="00B2525C">
        <w:rPr>
          <w:rFonts w:cs="Arial"/>
          <w:color w:val="343434"/>
        </w:rPr>
        <w:t xml:space="preserve"> ‘Falls prevention among older Victorians’. </w:t>
      </w:r>
      <w:r w:rsidRPr="00B2525C">
        <w:rPr>
          <w:rFonts w:cs="Arial"/>
        </w:rPr>
        <w:t>(</w:t>
      </w:r>
      <w:hyperlink r:id="rId122" w:history="1">
        <w:r w:rsidRPr="00B2525C">
          <w:rPr>
            <w:rStyle w:val="Hyperlink"/>
            <w:rFonts w:cs="Arial"/>
          </w:rPr>
          <w:t>https://www2.health.vic.gov.au/public-health/chief-health-officer/cho-publications/your-health-report-2018/injury-prevention/falls-prevention</w:t>
        </w:r>
      </w:hyperlink>
      <w:r w:rsidRPr="00B2525C">
        <w:rPr>
          <w:rFonts w:cs="Arial"/>
        </w:rPr>
        <w:t>)</w:t>
      </w:r>
    </w:p>
    <w:p w14:paraId="11F3C32B" w14:textId="77777777" w:rsidR="00677358" w:rsidRPr="00B2525C" w:rsidRDefault="00677358" w:rsidP="00677358">
      <w:pPr>
        <w:rPr>
          <w:rFonts w:cs="Arial"/>
        </w:rPr>
      </w:pPr>
      <w:r w:rsidRPr="00B2525C">
        <w:rPr>
          <w:rFonts w:cs="Arial"/>
          <w:color w:val="222222"/>
          <w:shd w:val="clear" w:color="auto" w:fill="FFFFFF"/>
        </w:rPr>
        <w:t xml:space="preserve">Department of Health and Human Services, 2019. </w:t>
      </w:r>
      <w:r w:rsidRPr="00B2525C">
        <w:rPr>
          <w:rFonts w:cs="Arial"/>
          <w:i/>
          <w:iCs/>
          <w:color w:val="222222"/>
          <w:shd w:val="clear" w:color="auto" w:fill="FFFFFF"/>
        </w:rPr>
        <w:t>Victorian public health and wellbeing plan 2019–2023</w:t>
      </w:r>
      <w:r w:rsidRPr="00B2525C">
        <w:rPr>
          <w:rFonts w:cs="Arial"/>
          <w:color w:val="222222"/>
          <w:shd w:val="clear" w:color="auto" w:fill="FFFFFF"/>
        </w:rPr>
        <w:t>.</w:t>
      </w:r>
    </w:p>
    <w:p w14:paraId="4F9312B9" w14:textId="77777777" w:rsidR="00677358" w:rsidRPr="00B2525C" w:rsidRDefault="00677358" w:rsidP="00677358">
      <w:pPr>
        <w:rPr>
          <w:rFonts w:cs="Arial"/>
        </w:rPr>
      </w:pPr>
      <w:r w:rsidRPr="00B2525C">
        <w:rPr>
          <w:rFonts w:cs="Arial"/>
        </w:rPr>
        <w:t xml:space="preserve">Department of Health and Human Services, 2020a. ‘Rental Report’, Victorian Government, Melbourne, </w:t>
      </w:r>
      <w:hyperlink r:id="rId123">
        <w:r w:rsidRPr="00B2525C">
          <w:rPr>
            <w:rFonts w:cs="Arial"/>
          </w:rPr>
          <w:t>https://www.dhhs.vic.gov.au/publications/rental-report</w:t>
        </w:r>
      </w:hyperlink>
      <w:r w:rsidRPr="00B2525C">
        <w:rPr>
          <w:rFonts w:cs="Arial"/>
        </w:rPr>
        <w:t>, accessed 22 September 2020.</w:t>
      </w:r>
    </w:p>
    <w:p w14:paraId="584235B2" w14:textId="77777777" w:rsidR="00677358" w:rsidRPr="00B2525C" w:rsidRDefault="00677358" w:rsidP="00677358">
      <w:pPr>
        <w:rPr>
          <w:rFonts w:cs="Arial"/>
        </w:rPr>
      </w:pPr>
      <w:r w:rsidRPr="00B2525C">
        <w:rPr>
          <w:rFonts w:cs="Arial"/>
        </w:rPr>
        <w:t xml:space="preserve">Department of Health and Human Services, 2020b, ‘Case locations and outbreaks’, Victorian Government, Melbourne, </w:t>
      </w:r>
      <w:hyperlink r:id="rId124">
        <w:r w:rsidRPr="00B2525C">
          <w:rPr>
            <w:rFonts w:cs="Arial"/>
          </w:rPr>
          <w:t>https://www.dhhs.vic.gov.au/case-locations-and-outbreaks</w:t>
        </w:r>
      </w:hyperlink>
      <w:r w:rsidRPr="00B2525C">
        <w:rPr>
          <w:rFonts w:cs="Arial"/>
        </w:rPr>
        <w:t>, accessed 20 October 2020.</w:t>
      </w:r>
    </w:p>
    <w:p w14:paraId="7F12DC7B" w14:textId="77777777" w:rsidR="00677358" w:rsidRPr="00B2525C" w:rsidRDefault="00677358" w:rsidP="00F8545E">
      <w:pPr>
        <w:rPr>
          <w:rFonts w:cs="Arial"/>
        </w:rPr>
      </w:pPr>
      <w:r w:rsidRPr="00B2525C">
        <w:rPr>
          <w:rFonts w:cs="Arial"/>
        </w:rPr>
        <w:t xml:space="preserve">Department of Health and Human Services, 2017, </w:t>
      </w:r>
      <w:r w:rsidRPr="00B2525C">
        <w:rPr>
          <w:rFonts w:cs="Arial"/>
          <w:i/>
        </w:rPr>
        <w:t>Victorian Population Health Survey 2017</w:t>
      </w:r>
      <w:r w:rsidRPr="00B2525C">
        <w:rPr>
          <w:rFonts w:cs="Arial"/>
        </w:rPr>
        <w:t>, Victorian Government, Melbourne.</w:t>
      </w:r>
    </w:p>
    <w:p w14:paraId="11A14D54" w14:textId="77777777" w:rsidR="00681D11" w:rsidRPr="00B2525C" w:rsidRDefault="00681D11" w:rsidP="00F8545E">
      <w:pPr>
        <w:rPr>
          <w:rFonts w:cs="Arial"/>
        </w:rPr>
      </w:pPr>
      <w:r w:rsidRPr="00B2525C">
        <w:rPr>
          <w:rFonts w:cs="Arial"/>
        </w:rPr>
        <w:t xml:space="preserve">Department of Home Affairs, 2019, </w:t>
      </w:r>
      <w:r w:rsidR="00677358" w:rsidRPr="00B2525C">
        <w:rPr>
          <w:rFonts w:cs="Arial"/>
        </w:rPr>
        <w:t>‘</w:t>
      </w:r>
      <w:r w:rsidRPr="00B2525C">
        <w:rPr>
          <w:rFonts w:cs="Arial"/>
        </w:rPr>
        <w:t>Settlement data reports October 2019 – December 2019</w:t>
      </w:r>
      <w:r w:rsidR="00677358" w:rsidRPr="00B2525C">
        <w:rPr>
          <w:rFonts w:cs="Arial"/>
        </w:rPr>
        <w:t>’</w:t>
      </w:r>
      <w:r w:rsidRPr="00B2525C">
        <w:rPr>
          <w:rFonts w:cs="Arial"/>
        </w:rPr>
        <w:t>,</w:t>
      </w:r>
      <w:r w:rsidRPr="00B2525C">
        <w:rPr>
          <w:rFonts w:cs="Arial"/>
          <w:i/>
        </w:rPr>
        <w:t xml:space="preserve"> </w:t>
      </w:r>
      <w:r w:rsidRPr="00B2525C">
        <w:rPr>
          <w:rFonts w:cs="Arial"/>
        </w:rPr>
        <w:t>Australian Government, Canberra,&lt;</w:t>
      </w:r>
      <w:hyperlink r:id="rId125">
        <w:r w:rsidRPr="00B2525C">
          <w:rPr>
            <w:rFonts w:cs="Arial"/>
            <w:color w:val="0462C1"/>
            <w:u w:val="single" w:color="0462C1"/>
          </w:rPr>
          <w:t>https://www.data.gov.au/dataset/ds-dga-8d1b90a9-a4d7-4b10-ad6a-8273722c8628/distribution/dist-dga-9f1aa933-a514-4301-a74a-</w:t>
        </w:r>
      </w:hyperlink>
      <w:r w:rsidRPr="00B2525C">
        <w:rPr>
          <w:rFonts w:cs="Arial"/>
          <w:color w:val="0462C1"/>
        </w:rPr>
        <w:t xml:space="preserve"> </w:t>
      </w:r>
      <w:hyperlink r:id="rId126">
        <w:r w:rsidRPr="00B2525C">
          <w:rPr>
            <w:rFonts w:cs="Arial"/>
            <w:color w:val="0462C1"/>
            <w:u w:val="single" w:color="0462C1"/>
          </w:rPr>
          <w:t>b6c5e4adacd9/</w:t>
        </w:r>
        <w:proofErr w:type="spellStart"/>
        <w:r w:rsidRPr="00B2525C">
          <w:rPr>
            <w:rFonts w:cs="Arial"/>
            <w:color w:val="0462C1"/>
            <w:u w:val="single" w:color="0462C1"/>
          </w:rPr>
          <w:t>details?q</w:t>
        </w:r>
        <w:proofErr w:type="spellEnd"/>
        <w:r w:rsidRPr="00B2525C">
          <w:rPr>
            <w:rFonts w:cs="Arial"/>
            <w:color w:val="0462C1"/>
            <w:u w:val="single" w:color="0462C1"/>
          </w:rPr>
          <w:t>=</w:t>
        </w:r>
      </w:hyperlink>
      <w:r w:rsidRPr="00B2525C">
        <w:rPr>
          <w:rFonts w:cs="Arial"/>
        </w:rPr>
        <w:t xml:space="preserve">&gt;, </w:t>
      </w:r>
    </w:p>
    <w:p w14:paraId="74203FB1" w14:textId="77777777" w:rsidR="00CB68C8" w:rsidRPr="00B2525C" w:rsidRDefault="00CB68C8" w:rsidP="00F8545E">
      <w:pPr>
        <w:rPr>
          <w:rFonts w:cs="Arial"/>
        </w:rPr>
      </w:pPr>
      <w:r w:rsidRPr="00B2525C">
        <w:rPr>
          <w:rFonts w:cs="Arial"/>
        </w:rPr>
        <w:t>Department of Home Affairs, 2020</w:t>
      </w:r>
      <w:r w:rsidR="00677358" w:rsidRPr="00B2525C">
        <w:rPr>
          <w:rFonts w:cs="Arial"/>
        </w:rPr>
        <w:t xml:space="preserve">, ‘Illegal maritime arrivals’ </w:t>
      </w:r>
      <w:r w:rsidRPr="00B2525C">
        <w:rPr>
          <w:rFonts w:cs="Arial"/>
        </w:rPr>
        <w:t xml:space="preserve"> </w:t>
      </w:r>
      <w:hyperlink r:id="rId127" w:history="1">
        <w:r w:rsidRPr="00B2525C">
          <w:rPr>
            <w:rStyle w:val="Hyperlink"/>
            <w:rFonts w:cs="Arial"/>
          </w:rPr>
          <w:t>https://www.homeaffairs.gov.au/research-and-stats/files/illegal-maritime-arrivals-bve-june-2020.pdf</w:t>
        </w:r>
      </w:hyperlink>
      <w:r w:rsidRPr="00B2525C">
        <w:rPr>
          <w:rFonts w:cs="Arial"/>
        </w:rPr>
        <w:t xml:space="preserve"> </w:t>
      </w:r>
    </w:p>
    <w:p w14:paraId="143861A3" w14:textId="77777777" w:rsidR="00681D11" w:rsidRPr="00B2525C" w:rsidRDefault="00CB68C8" w:rsidP="00F8545E">
      <w:pPr>
        <w:rPr>
          <w:rFonts w:cs="Arial"/>
        </w:rPr>
      </w:pPr>
      <w:r w:rsidRPr="00B2525C">
        <w:rPr>
          <w:rFonts w:cs="Arial"/>
        </w:rPr>
        <w:t>Department of Home Affairs, 2019</w:t>
      </w:r>
      <w:r w:rsidR="00677358" w:rsidRPr="00B2525C">
        <w:rPr>
          <w:rFonts w:cs="Arial"/>
        </w:rPr>
        <w:t>, ‘Illegal maritime arrivals’</w:t>
      </w:r>
      <w:r w:rsidRPr="00B2525C">
        <w:rPr>
          <w:rFonts w:cs="Arial"/>
        </w:rPr>
        <w:t xml:space="preserve">: </w:t>
      </w:r>
      <w:hyperlink r:id="rId128" w:history="1">
        <w:r w:rsidRPr="00B2525C">
          <w:rPr>
            <w:rStyle w:val="Hyperlink"/>
            <w:rFonts w:cs="Arial"/>
          </w:rPr>
          <w:t>https://www.homeaffairs.gov.au/research-and-stats/files/illegal-maritime-arrivals-bve-june-2019.pdf</w:t>
        </w:r>
      </w:hyperlink>
      <w:r w:rsidRPr="00B2525C">
        <w:rPr>
          <w:rFonts w:cs="Arial"/>
        </w:rPr>
        <w:t xml:space="preserve"> </w:t>
      </w:r>
    </w:p>
    <w:p w14:paraId="52067943" w14:textId="77777777" w:rsidR="00E53C9B" w:rsidRPr="00B2525C" w:rsidRDefault="00E53C9B" w:rsidP="00F8545E">
      <w:pPr>
        <w:rPr>
          <w:rFonts w:cs="Arial"/>
        </w:rPr>
      </w:pPr>
      <w:r w:rsidRPr="00B2525C">
        <w:rPr>
          <w:rFonts w:cs="Arial"/>
        </w:rPr>
        <w:t xml:space="preserve">Domestic Violence Resource Centre Victoria, </w:t>
      </w:r>
      <w:r w:rsidR="00677358" w:rsidRPr="00B2525C">
        <w:rPr>
          <w:rFonts w:cs="Arial"/>
        </w:rPr>
        <w:t xml:space="preserve">2020, </w:t>
      </w:r>
      <w:r w:rsidRPr="00B2525C">
        <w:rPr>
          <w:rFonts w:cs="Arial"/>
        </w:rPr>
        <w:t>‘For older people’ &lt;</w:t>
      </w:r>
      <w:hyperlink r:id="rId129">
        <w:r w:rsidRPr="00B2525C">
          <w:rPr>
            <w:rFonts w:cs="Arial"/>
            <w:color w:val="0462C1"/>
            <w:u w:val="single" w:color="0462C1"/>
          </w:rPr>
          <w:t>https://www.dvrcv.org.au/help-advice/elder-abuse-and-family-violence</w:t>
        </w:r>
        <w:r w:rsidRPr="00B2525C">
          <w:rPr>
            <w:rFonts w:cs="Arial"/>
            <w:color w:val="0462C1"/>
          </w:rPr>
          <w:t xml:space="preserve"> </w:t>
        </w:r>
      </w:hyperlink>
      <w:r w:rsidRPr="00B2525C">
        <w:rPr>
          <w:rFonts w:cs="Arial"/>
        </w:rPr>
        <w:t xml:space="preserve"> </w:t>
      </w:r>
    </w:p>
    <w:p w14:paraId="5D66F161" w14:textId="77777777" w:rsidR="00041E7C" w:rsidRPr="00B2525C" w:rsidRDefault="008424C0" w:rsidP="00F8545E">
      <w:pPr>
        <w:rPr>
          <w:rFonts w:cs="Arial"/>
        </w:rPr>
      </w:pPr>
      <w:proofErr w:type="spellStart"/>
      <w:r w:rsidRPr="00B2525C">
        <w:rPr>
          <w:rFonts w:cs="Arial"/>
          <w:color w:val="222222"/>
          <w:shd w:val="clear" w:color="auto" w:fill="FFFFFF"/>
        </w:rPr>
        <w:lastRenderedPageBreak/>
        <w:t>Elgendawy</w:t>
      </w:r>
      <w:proofErr w:type="spellEnd"/>
      <w:r w:rsidRPr="00B2525C">
        <w:rPr>
          <w:rFonts w:cs="Arial"/>
          <w:color w:val="222222"/>
          <w:shd w:val="clear" w:color="auto" w:fill="FFFFFF"/>
        </w:rPr>
        <w:t xml:space="preserve">, A. and Davies, P., 2019. </w:t>
      </w:r>
      <w:r w:rsidR="00677358" w:rsidRPr="00B2525C">
        <w:rPr>
          <w:rFonts w:cs="Arial"/>
          <w:color w:val="222222"/>
          <w:shd w:val="clear" w:color="auto" w:fill="FFFFFF"/>
        </w:rPr>
        <w:t>‘</w:t>
      </w:r>
      <w:r w:rsidRPr="00B2525C">
        <w:rPr>
          <w:rFonts w:cs="Arial"/>
          <w:color w:val="222222"/>
          <w:shd w:val="clear" w:color="auto" w:fill="FFFFFF"/>
        </w:rPr>
        <w:t>The urban heat island in Australian city planning</w:t>
      </w:r>
      <w:r w:rsidR="00677358" w:rsidRPr="00B2525C">
        <w:rPr>
          <w:rFonts w:cs="Arial"/>
          <w:color w:val="222222"/>
          <w:shd w:val="clear" w:color="auto" w:fill="FFFFFF"/>
        </w:rPr>
        <w:t>’</w:t>
      </w:r>
      <w:r w:rsidRPr="00B2525C">
        <w:rPr>
          <w:rFonts w:cs="Arial"/>
          <w:color w:val="222222"/>
          <w:shd w:val="clear" w:color="auto" w:fill="FFFFFF"/>
        </w:rPr>
        <w:t>. In </w:t>
      </w:r>
      <w:r w:rsidRPr="00B2525C">
        <w:rPr>
          <w:rFonts w:cs="Arial"/>
          <w:i/>
          <w:iCs/>
          <w:color w:val="222222"/>
          <w:shd w:val="clear" w:color="auto" w:fill="FFFFFF"/>
        </w:rPr>
        <w:t>State of Australian Cities National Conference (9th: 2019)</w:t>
      </w:r>
      <w:r w:rsidRPr="00B2525C">
        <w:rPr>
          <w:rFonts w:cs="Arial"/>
          <w:color w:val="222222"/>
          <w:shd w:val="clear" w:color="auto" w:fill="FFFFFF"/>
        </w:rPr>
        <w:t>.</w:t>
      </w:r>
    </w:p>
    <w:p w14:paraId="5147019C" w14:textId="77777777" w:rsidR="00382BDD" w:rsidRPr="00B2525C" w:rsidRDefault="00041E7C" w:rsidP="00F8545E">
      <w:pPr>
        <w:rPr>
          <w:rFonts w:cs="Arial"/>
          <w:color w:val="222222"/>
          <w:shd w:val="clear" w:color="auto" w:fill="FFFFFF"/>
        </w:rPr>
      </w:pPr>
      <w:r w:rsidRPr="00B2525C">
        <w:rPr>
          <w:rFonts w:cs="Arial"/>
          <w:color w:val="222222"/>
          <w:shd w:val="clear" w:color="auto" w:fill="FFFFFF"/>
        </w:rPr>
        <w:t xml:space="preserve">Ewing, R. and Cervero, R., 2010. </w:t>
      </w:r>
      <w:r w:rsidR="00677358" w:rsidRPr="00B2525C">
        <w:rPr>
          <w:rFonts w:cs="Arial"/>
          <w:color w:val="222222"/>
          <w:shd w:val="clear" w:color="auto" w:fill="FFFFFF"/>
        </w:rPr>
        <w:t>‘</w:t>
      </w:r>
      <w:r w:rsidRPr="00B2525C">
        <w:rPr>
          <w:rFonts w:cs="Arial"/>
          <w:color w:val="222222"/>
          <w:shd w:val="clear" w:color="auto" w:fill="FFFFFF"/>
        </w:rPr>
        <w:t>Travel and the built environment: A meta-analysis</w:t>
      </w:r>
      <w:r w:rsidR="00677358" w:rsidRPr="00B2525C">
        <w:rPr>
          <w:rFonts w:cs="Arial"/>
          <w:color w:val="222222"/>
          <w:shd w:val="clear" w:color="auto" w:fill="FFFFFF"/>
        </w:rPr>
        <w:t>’</w:t>
      </w:r>
      <w:r w:rsidRPr="00B2525C">
        <w:rPr>
          <w:rFonts w:cs="Arial"/>
          <w:color w:val="222222"/>
          <w:shd w:val="clear" w:color="auto" w:fill="FFFFFF"/>
        </w:rPr>
        <w:t>. </w:t>
      </w:r>
      <w:r w:rsidRPr="00B2525C">
        <w:rPr>
          <w:rFonts w:cs="Arial"/>
          <w:i/>
          <w:iCs/>
          <w:color w:val="222222"/>
          <w:shd w:val="clear" w:color="auto" w:fill="FFFFFF"/>
        </w:rPr>
        <w:t>Journal of the American planning association</w:t>
      </w:r>
      <w:r w:rsidRPr="00B2525C">
        <w:rPr>
          <w:rFonts w:cs="Arial"/>
          <w:color w:val="222222"/>
          <w:shd w:val="clear" w:color="auto" w:fill="FFFFFF"/>
        </w:rPr>
        <w:t>, </w:t>
      </w:r>
      <w:r w:rsidRPr="00B2525C">
        <w:rPr>
          <w:rFonts w:cs="Arial"/>
          <w:i/>
          <w:iCs/>
          <w:color w:val="222222"/>
          <w:shd w:val="clear" w:color="auto" w:fill="FFFFFF"/>
        </w:rPr>
        <w:t>76</w:t>
      </w:r>
      <w:r w:rsidRPr="00B2525C">
        <w:rPr>
          <w:rFonts w:cs="Arial"/>
          <w:color w:val="222222"/>
          <w:shd w:val="clear" w:color="auto" w:fill="FFFFFF"/>
        </w:rPr>
        <w:t>(3), pp.265-294.</w:t>
      </w:r>
    </w:p>
    <w:p w14:paraId="2C15A2AD" w14:textId="77777777" w:rsidR="00382BDD" w:rsidRPr="00B2525C" w:rsidRDefault="00382BDD" w:rsidP="00F8545E">
      <w:pPr>
        <w:rPr>
          <w:rFonts w:cs="Arial"/>
        </w:rPr>
      </w:pPr>
      <w:r w:rsidRPr="00B2525C">
        <w:rPr>
          <w:rFonts w:cs="Arial"/>
        </w:rPr>
        <w:t xml:space="preserve">Foundation for Alcohol Research and Education, 2020. </w:t>
      </w:r>
      <w:r w:rsidR="00677358" w:rsidRPr="00B2525C">
        <w:rPr>
          <w:rFonts w:cs="Arial"/>
        </w:rPr>
        <w:t>‘</w:t>
      </w:r>
      <w:r w:rsidRPr="00B2525C">
        <w:rPr>
          <w:rFonts w:cs="Arial"/>
        </w:rPr>
        <w:t>Many Australians using more alcohol and worried about household drinking</w:t>
      </w:r>
      <w:r w:rsidR="00677358" w:rsidRPr="00B2525C">
        <w:rPr>
          <w:rFonts w:cs="Arial"/>
        </w:rPr>
        <w:t xml:space="preserve">’, </w:t>
      </w:r>
      <w:r w:rsidRPr="00B2525C">
        <w:rPr>
          <w:rFonts w:cs="Arial"/>
        </w:rPr>
        <w:t>https://fare.org.au/many-australians-using-more-alcohol-and-worried-about-household-drinking/</w:t>
      </w:r>
    </w:p>
    <w:p w14:paraId="550E9AFE" w14:textId="77777777" w:rsidR="00681D11" w:rsidRPr="00B2525C" w:rsidRDefault="00681D11" w:rsidP="00F8545E">
      <w:pPr>
        <w:rPr>
          <w:rFonts w:cs="Arial"/>
        </w:rPr>
      </w:pPr>
      <w:r w:rsidRPr="00B2525C">
        <w:rPr>
          <w:rFonts w:cs="Arial"/>
        </w:rPr>
        <w:t xml:space="preserve">Federation of Ethnic Communities’ Councils of Australia, 2015, </w:t>
      </w:r>
      <w:r w:rsidRPr="00B2525C">
        <w:rPr>
          <w:rFonts w:cs="Arial"/>
          <w:i/>
        </w:rPr>
        <w:t>Community Perspectives on Settlement Issues Affecting New and Emerging Communities in Rural and Regional Australia</w:t>
      </w:r>
      <w:r w:rsidRPr="00B2525C">
        <w:rPr>
          <w:rFonts w:cs="Arial"/>
        </w:rPr>
        <w:t xml:space="preserve">, </w:t>
      </w:r>
      <w:hyperlink r:id="rId130">
        <w:r w:rsidRPr="00B2525C">
          <w:rPr>
            <w:rFonts w:cs="Arial"/>
          </w:rPr>
          <w:t>&lt;http://fecca.org.au/wp-content/uploads/2015/06/FECCA-Rural-and-Regional-report-June-2015-00000002.pdf</w:t>
        </w:r>
      </w:hyperlink>
      <w:r w:rsidRPr="00B2525C">
        <w:rPr>
          <w:rFonts w:cs="Arial"/>
        </w:rPr>
        <w:t>&gt;</w:t>
      </w:r>
    </w:p>
    <w:p w14:paraId="2C5CDB71" w14:textId="77777777" w:rsidR="00B42366" w:rsidRPr="00B2525C" w:rsidRDefault="00B42366" w:rsidP="00F8545E">
      <w:pPr>
        <w:rPr>
          <w:rFonts w:cs="Arial"/>
        </w:rPr>
      </w:pPr>
      <w:r w:rsidRPr="00B2525C">
        <w:rPr>
          <w:rFonts w:cs="Arial"/>
        </w:rPr>
        <w:t>Gearin, M., &amp; Knight, B.</w:t>
      </w:r>
      <w:r w:rsidR="00BA32C6" w:rsidRPr="00B2525C">
        <w:rPr>
          <w:rFonts w:cs="Arial"/>
        </w:rPr>
        <w:t>,</w:t>
      </w:r>
      <w:r w:rsidRPr="00B2525C">
        <w:rPr>
          <w:rFonts w:cs="Arial"/>
        </w:rPr>
        <w:t xml:space="preserve"> </w:t>
      </w:r>
      <w:r w:rsidR="00BA32C6" w:rsidRPr="00B2525C">
        <w:rPr>
          <w:rFonts w:cs="Arial"/>
        </w:rPr>
        <w:t xml:space="preserve">2020, </w:t>
      </w:r>
      <w:r w:rsidRPr="00B2525C">
        <w:rPr>
          <w:rFonts w:cs="Arial"/>
        </w:rPr>
        <w:t xml:space="preserve">‘Family violence perpetrators using COVID-19 as 'a form of abuse we have not experienced before'’, ABC News, </w:t>
      </w:r>
      <w:hyperlink r:id="rId131" w:history="1">
        <w:r w:rsidRPr="00B2525C">
          <w:rPr>
            <w:rStyle w:val="Hyperlink"/>
            <w:rFonts w:cs="Arial"/>
          </w:rPr>
          <w:t>https://www.abc.net.au/news/2020-03-29/coronavirus-family-violence-surge-in-victoria/12098546</w:t>
        </w:r>
      </w:hyperlink>
      <w:r w:rsidRPr="00B2525C">
        <w:rPr>
          <w:rFonts w:cs="Arial"/>
        </w:rPr>
        <w:t xml:space="preserve">, </w:t>
      </w:r>
    </w:p>
    <w:p w14:paraId="015B3760" w14:textId="77777777" w:rsidR="00681D11" w:rsidRPr="00B2525C" w:rsidRDefault="00273221" w:rsidP="00F8545E">
      <w:pPr>
        <w:rPr>
          <w:rFonts w:cs="Arial"/>
          <w:color w:val="222222"/>
          <w:shd w:val="clear" w:color="auto" w:fill="FFFFFF"/>
        </w:rPr>
      </w:pPr>
      <w:proofErr w:type="spellStart"/>
      <w:r w:rsidRPr="00B2525C">
        <w:rPr>
          <w:rFonts w:cs="Arial"/>
          <w:color w:val="222222"/>
          <w:shd w:val="clear" w:color="auto" w:fill="FFFFFF"/>
        </w:rPr>
        <w:t>Guite</w:t>
      </w:r>
      <w:proofErr w:type="spellEnd"/>
      <w:r w:rsidRPr="00B2525C">
        <w:rPr>
          <w:rFonts w:cs="Arial"/>
          <w:color w:val="222222"/>
          <w:shd w:val="clear" w:color="auto" w:fill="FFFFFF"/>
        </w:rPr>
        <w:t xml:space="preserve">, H.F., Clark, C. and </w:t>
      </w:r>
      <w:proofErr w:type="spellStart"/>
      <w:r w:rsidRPr="00B2525C">
        <w:rPr>
          <w:rFonts w:cs="Arial"/>
          <w:color w:val="222222"/>
          <w:shd w:val="clear" w:color="auto" w:fill="FFFFFF"/>
        </w:rPr>
        <w:t>Ackrill</w:t>
      </w:r>
      <w:proofErr w:type="spellEnd"/>
      <w:r w:rsidRPr="00B2525C">
        <w:rPr>
          <w:rFonts w:cs="Arial"/>
          <w:color w:val="222222"/>
          <w:shd w:val="clear" w:color="auto" w:fill="FFFFFF"/>
        </w:rPr>
        <w:t>, G., 2006. The impact of the physical and urban environment on mental well-being. </w:t>
      </w:r>
      <w:r w:rsidRPr="00B2525C">
        <w:rPr>
          <w:rFonts w:cs="Arial"/>
          <w:i/>
          <w:iCs/>
          <w:color w:val="222222"/>
          <w:shd w:val="clear" w:color="auto" w:fill="FFFFFF"/>
        </w:rPr>
        <w:t>Public health</w:t>
      </w:r>
      <w:r w:rsidRPr="00B2525C">
        <w:rPr>
          <w:rFonts w:cs="Arial"/>
          <w:color w:val="222222"/>
          <w:shd w:val="clear" w:color="auto" w:fill="FFFFFF"/>
        </w:rPr>
        <w:t>, </w:t>
      </w:r>
      <w:r w:rsidRPr="00B2525C">
        <w:rPr>
          <w:rFonts w:cs="Arial"/>
          <w:i/>
          <w:iCs/>
          <w:color w:val="222222"/>
          <w:shd w:val="clear" w:color="auto" w:fill="FFFFFF"/>
        </w:rPr>
        <w:t>120</w:t>
      </w:r>
      <w:r w:rsidRPr="00B2525C">
        <w:rPr>
          <w:rFonts w:cs="Arial"/>
          <w:color w:val="222222"/>
          <w:shd w:val="clear" w:color="auto" w:fill="FFFFFF"/>
        </w:rPr>
        <w:t>(12), pp.1117-1126.</w:t>
      </w:r>
    </w:p>
    <w:p w14:paraId="23680FA1" w14:textId="77777777" w:rsidR="00273221" w:rsidRPr="00B2525C" w:rsidRDefault="00273221" w:rsidP="00F8545E">
      <w:pPr>
        <w:rPr>
          <w:rFonts w:cs="Arial"/>
        </w:rPr>
      </w:pPr>
      <w:r w:rsidRPr="00B2525C">
        <w:rPr>
          <w:rFonts w:cs="Arial"/>
          <w:color w:val="222222"/>
          <w:shd w:val="clear" w:color="auto" w:fill="FFFFFF"/>
        </w:rPr>
        <w:t>Hong, J. and Chen, C., 2014. The role of the built environment on perceived safety from crime and walking: examining direct and indirect impacts. </w:t>
      </w:r>
      <w:r w:rsidRPr="00B2525C">
        <w:rPr>
          <w:rFonts w:cs="Arial"/>
          <w:i/>
          <w:iCs/>
          <w:color w:val="222222"/>
          <w:shd w:val="clear" w:color="auto" w:fill="FFFFFF"/>
        </w:rPr>
        <w:t>Transportation</w:t>
      </w:r>
      <w:r w:rsidRPr="00B2525C">
        <w:rPr>
          <w:rFonts w:cs="Arial"/>
          <w:color w:val="222222"/>
          <w:shd w:val="clear" w:color="auto" w:fill="FFFFFF"/>
        </w:rPr>
        <w:t>, </w:t>
      </w:r>
      <w:r w:rsidRPr="00B2525C">
        <w:rPr>
          <w:rFonts w:cs="Arial"/>
          <w:i/>
          <w:iCs/>
          <w:color w:val="222222"/>
          <w:shd w:val="clear" w:color="auto" w:fill="FFFFFF"/>
        </w:rPr>
        <w:t>41</w:t>
      </w:r>
      <w:r w:rsidRPr="00B2525C">
        <w:rPr>
          <w:rFonts w:cs="Arial"/>
          <w:color w:val="222222"/>
          <w:shd w:val="clear" w:color="auto" w:fill="FFFFFF"/>
        </w:rPr>
        <w:t>(6), pp.1171-1185.</w:t>
      </w:r>
    </w:p>
    <w:p w14:paraId="6A2C5E57" w14:textId="77777777" w:rsidR="00EC4E90" w:rsidRPr="00B2525C" w:rsidRDefault="00B01D14" w:rsidP="00F8545E">
      <w:pPr>
        <w:rPr>
          <w:rFonts w:cs="Arial"/>
        </w:rPr>
      </w:pPr>
      <w:r w:rsidRPr="00B2525C">
        <w:rPr>
          <w:rFonts w:cs="Arial"/>
        </w:rPr>
        <w:t xml:space="preserve">.id consulting, </w:t>
      </w:r>
      <w:r w:rsidRPr="00B2525C">
        <w:rPr>
          <w:rFonts w:cs="Arial"/>
          <w:i/>
        </w:rPr>
        <w:t>Moonee Valley Population Forecasts</w:t>
      </w:r>
      <w:r w:rsidRPr="00B2525C">
        <w:rPr>
          <w:rFonts w:cs="Arial"/>
        </w:rPr>
        <w:t>, December 2017.</w:t>
      </w:r>
    </w:p>
    <w:p w14:paraId="432C268E" w14:textId="77777777" w:rsidR="00DA1062" w:rsidRPr="00B2525C" w:rsidRDefault="00DA1062" w:rsidP="00F8545E">
      <w:pPr>
        <w:rPr>
          <w:rFonts w:cs="Arial"/>
        </w:rPr>
      </w:pPr>
      <w:proofErr w:type="spellStart"/>
      <w:r w:rsidRPr="00B2525C">
        <w:rPr>
          <w:rFonts w:cs="Arial"/>
        </w:rPr>
        <w:t>Ivynian</w:t>
      </w:r>
      <w:proofErr w:type="spellEnd"/>
      <w:r w:rsidRPr="00B2525C">
        <w:rPr>
          <w:rFonts w:cs="Arial"/>
        </w:rPr>
        <w:t>, S, Ferguson, C and DiGiacomo, M</w:t>
      </w:r>
      <w:r w:rsidR="00BA32C6" w:rsidRPr="00B2525C">
        <w:rPr>
          <w:rFonts w:cs="Arial"/>
        </w:rPr>
        <w:t>., 2020, ;</w:t>
      </w:r>
      <w:r w:rsidRPr="00B2525C">
        <w:rPr>
          <w:rFonts w:cs="Arial"/>
        </w:rPr>
        <w:t>Even in a pandemic, continue with routine health care and don’t ignore a medical emergency</w:t>
      </w:r>
      <w:r w:rsidR="00BA32C6" w:rsidRPr="00B2525C">
        <w:rPr>
          <w:rFonts w:cs="Arial"/>
        </w:rPr>
        <w:t>’</w:t>
      </w:r>
      <w:r w:rsidRPr="00B2525C">
        <w:rPr>
          <w:rFonts w:cs="Arial"/>
        </w:rPr>
        <w:t xml:space="preserve">, </w:t>
      </w:r>
      <w:hyperlink r:id="rId132" w:history="1">
        <w:r w:rsidR="00BA32C6" w:rsidRPr="00B2525C">
          <w:rPr>
            <w:rStyle w:val="Hyperlink"/>
            <w:rFonts w:cs="Arial"/>
          </w:rPr>
          <w:t>https://theconversation.com/even-in-a-pandemic-continue-with-routine-health-care-and-dont-ignore-a-medical-emergency-136246</w:t>
        </w:r>
      </w:hyperlink>
    </w:p>
    <w:p w14:paraId="0FCFE9CF" w14:textId="77777777" w:rsidR="00C84F59" w:rsidRPr="00B2525C" w:rsidRDefault="00273221" w:rsidP="00F8545E">
      <w:pPr>
        <w:rPr>
          <w:rFonts w:cs="Arial"/>
        </w:rPr>
      </w:pPr>
      <w:r w:rsidRPr="00B2525C">
        <w:rPr>
          <w:rFonts w:cs="Arial"/>
          <w:color w:val="222222"/>
          <w:shd w:val="clear" w:color="auto" w:fill="FFFFFF"/>
        </w:rPr>
        <w:t>Kim, E.J., 2016. The impacts of climate change on human health in the United States: A scientific assessment, by us global change research program. </w:t>
      </w:r>
      <w:r w:rsidRPr="00B2525C">
        <w:rPr>
          <w:rFonts w:cs="Arial"/>
          <w:i/>
          <w:iCs/>
          <w:color w:val="222222"/>
          <w:shd w:val="clear" w:color="auto" w:fill="FFFFFF"/>
        </w:rPr>
        <w:t>Journal of the American Planning Association</w:t>
      </w:r>
      <w:r w:rsidRPr="00B2525C">
        <w:rPr>
          <w:rFonts w:cs="Arial"/>
          <w:color w:val="222222"/>
          <w:shd w:val="clear" w:color="auto" w:fill="FFFFFF"/>
        </w:rPr>
        <w:t>, </w:t>
      </w:r>
      <w:r w:rsidRPr="00B2525C">
        <w:rPr>
          <w:rFonts w:cs="Arial"/>
          <w:i/>
          <w:iCs/>
          <w:color w:val="222222"/>
          <w:shd w:val="clear" w:color="auto" w:fill="FFFFFF"/>
        </w:rPr>
        <w:t>82</w:t>
      </w:r>
      <w:r w:rsidRPr="00B2525C">
        <w:rPr>
          <w:rFonts w:cs="Arial"/>
          <w:color w:val="222222"/>
          <w:shd w:val="clear" w:color="auto" w:fill="FFFFFF"/>
        </w:rPr>
        <w:t>(4), pp.418-419.</w:t>
      </w:r>
    </w:p>
    <w:p w14:paraId="364963F8" w14:textId="77777777" w:rsidR="00C84F59" w:rsidRPr="00B2525C" w:rsidRDefault="00C84F59" w:rsidP="00BA32C6">
      <w:pPr>
        <w:rPr>
          <w:rFonts w:cs="Arial"/>
          <w:shd w:val="clear" w:color="auto" w:fill="FFFFFF"/>
        </w:rPr>
      </w:pPr>
      <w:r w:rsidRPr="00B2525C">
        <w:rPr>
          <w:rFonts w:cs="Arial"/>
          <w:shd w:val="clear" w:color="auto" w:fill="FFFFFF"/>
        </w:rPr>
        <w:t>Lim, M.H., Holt-</w:t>
      </w:r>
      <w:proofErr w:type="spellStart"/>
      <w:r w:rsidRPr="00B2525C">
        <w:rPr>
          <w:rFonts w:cs="Arial"/>
          <w:shd w:val="clear" w:color="auto" w:fill="FFFFFF"/>
        </w:rPr>
        <w:t>Lunstad</w:t>
      </w:r>
      <w:proofErr w:type="spellEnd"/>
      <w:r w:rsidRPr="00B2525C">
        <w:rPr>
          <w:rFonts w:cs="Arial"/>
          <w:shd w:val="clear" w:color="auto" w:fill="FFFFFF"/>
        </w:rPr>
        <w:t>, J. and Badcock, J.C., 2020. Loneliness: contemporary insights into causes, correlates, and consequences.</w:t>
      </w:r>
    </w:p>
    <w:p w14:paraId="388CFCA8" w14:textId="77777777" w:rsidR="00601072" w:rsidRPr="00B2525C" w:rsidRDefault="00601072" w:rsidP="00BA32C6">
      <w:pPr>
        <w:rPr>
          <w:rFonts w:cs="Arial"/>
        </w:rPr>
      </w:pPr>
      <w:r w:rsidRPr="00B2525C">
        <w:rPr>
          <w:rFonts w:cs="Arial"/>
        </w:rPr>
        <w:t xml:space="preserve">LGBTIQ+ Health Australia, 2021.   LGBTIQ+ Health Australia Policy Priorities 2021 </w:t>
      </w:r>
      <w:hyperlink r:id="rId133" w:history="1">
        <w:r w:rsidR="00DB22B2" w:rsidRPr="00B2525C">
          <w:rPr>
            <w:rStyle w:val="Hyperlink"/>
            <w:rFonts w:cs="Arial"/>
          </w:rPr>
          <w:t>https://d3n8a8pro7vhmx.cloudfront.net/lgbtihealth/pages/785/attachments/original/1620685393/LGBTIQ_Health_Australia_PolicyPriorities2021.pdf?1620685393</w:t>
        </w:r>
      </w:hyperlink>
    </w:p>
    <w:p w14:paraId="13C59186" w14:textId="77777777" w:rsidR="00EC4E90" w:rsidRPr="00B2525C" w:rsidRDefault="00E37EA5" w:rsidP="00F8545E">
      <w:pPr>
        <w:rPr>
          <w:rFonts w:cs="Arial"/>
        </w:rPr>
      </w:pPr>
      <w:r w:rsidRPr="00B2525C">
        <w:rPr>
          <w:rFonts w:cs="Arial"/>
        </w:rPr>
        <w:t>Moonee Valley City Council</w:t>
      </w:r>
      <w:r w:rsidR="00B01D14" w:rsidRPr="00B2525C">
        <w:rPr>
          <w:rFonts w:cs="Arial"/>
        </w:rPr>
        <w:t xml:space="preserve">, 2020, </w:t>
      </w:r>
      <w:r w:rsidR="00B01D14" w:rsidRPr="00B2525C">
        <w:rPr>
          <w:rFonts w:cs="Arial"/>
          <w:i/>
        </w:rPr>
        <w:t>Moonee Valley Community Survey</w:t>
      </w:r>
      <w:r w:rsidR="00B01D14" w:rsidRPr="00B2525C">
        <w:rPr>
          <w:rFonts w:cs="Arial"/>
        </w:rPr>
        <w:t xml:space="preserve">, </w:t>
      </w:r>
      <w:r w:rsidRPr="00B2525C">
        <w:rPr>
          <w:rFonts w:cs="Arial"/>
        </w:rPr>
        <w:t>Moonee Valley City Council</w:t>
      </w:r>
      <w:r w:rsidR="00B01D14" w:rsidRPr="00B2525C">
        <w:rPr>
          <w:rFonts w:cs="Arial"/>
        </w:rPr>
        <w:t>, Moonee Ponds.</w:t>
      </w:r>
    </w:p>
    <w:p w14:paraId="1D6C8904" w14:textId="77777777" w:rsidR="00F964DA" w:rsidRPr="00B2525C" w:rsidRDefault="00677358" w:rsidP="00F8545E">
      <w:pPr>
        <w:rPr>
          <w:rFonts w:cs="Arial"/>
        </w:rPr>
      </w:pPr>
      <w:r w:rsidRPr="00B2525C">
        <w:rPr>
          <w:rFonts w:cs="Arial"/>
        </w:rPr>
        <w:t>National Ageing Research Institute</w:t>
      </w:r>
      <w:r w:rsidR="00BA32C6" w:rsidRPr="00B2525C">
        <w:rPr>
          <w:rFonts w:cs="Arial"/>
        </w:rPr>
        <w:t>, 2015.</w:t>
      </w:r>
      <w:r w:rsidRPr="00B2525C">
        <w:rPr>
          <w:rFonts w:cs="Arial"/>
        </w:rPr>
        <w:t xml:space="preserve"> </w:t>
      </w:r>
      <w:r w:rsidR="00BA32C6" w:rsidRPr="00B2525C">
        <w:rPr>
          <w:rFonts w:cs="Arial"/>
        </w:rPr>
        <w:t>‘</w:t>
      </w:r>
      <w:r w:rsidRPr="00B2525C">
        <w:rPr>
          <w:rFonts w:cs="Arial"/>
        </w:rPr>
        <w:t>Profile of elder abuse in Victoria Analysis of data about people seeking help from Seniors Rights Victoria SUMMARY REPORT, 2015</w:t>
      </w:r>
      <w:r w:rsidR="00BA32C6" w:rsidRPr="00B2525C">
        <w:rPr>
          <w:rFonts w:cs="Arial"/>
        </w:rPr>
        <w:t>’</w:t>
      </w:r>
      <w:r w:rsidRPr="00B2525C">
        <w:rPr>
          <w:rFonts w:cs="Arial"/>
        </w:rPr>
        <w:t xml:space="preserve">  </w:t>
      </w:r>
      <w:hyperlink r:id="rId134">
        <w:r w:rsidRPr="00B2525C">
          <w:rPr>
            <w:rFonts w:cs="Arial"/>
          </w:rPr>
          <w:t>https://seniorsrights.org.au/wp-content/uploads/2014/03/Summary-Report_Profile-of-Elder-Abuse-in-</w:t>
        </w:r>
      </w:hyperlink>
      <w:hyperlink r:id="rId135">
        <w:r w:rsidRPr="00B2525C">
          <w:rPr>
            <w:rFonts w:cs="Arial"/>
          </w:rPr>
          <w:t xml:space="preserve"> Victoria_Final.pdf</w:t>
        </w:r>
      </w:hyperlink>
    </w:p>
    <w:p w14:paraId="67D10EEE" w14:textId="77777777" w:rsidR="00F964DA" w:rsidRPr="00B2525C" w:rsidRDefault="00F964DA" w:rsidP="00F8545E">
      <w:pPr>
        <w:rPr>
          <w:rFonts w:cs="Arial"/>
        </w:rPr>
      </w:pPr>
      <w:r w:rsidRPr="00B2525C">
        <w:rPr>
          <w:rFonts w:cs="Arial"/>
        </w:rPr>
        <w:t>Refugee Council Australia, 2020. ‘How generous is Australia’s Refugee Program compared to other countries?</w:t>
      </w:r>
      <w:r w:rsidR="00BA32C6" w:rsidRPr="00B2525C">
        <w:rPr>
          <w:rFonts w:cs="Arial"/>
        </w:rPr>
        <w:t xml:space="preserve"> </w:t>
      </w:r>
      <w:r w:rsidRPr="00B2525C">
        <w:rPr>
          <w:rFonts w:cs="Arial"/>
        </w:rPr>
        <w:t xml:space="preserve">’https://www.refugeecouncil.org.au/2018-global-trends </w:t>
      </w:r>
    </w:p>
    <w:p w14:paraId="5A36AE4E" w14:textId="77777777" w:rsidR="0017290D" w:rsidRPr="00B2525C" w:rsidRDefault="0017290D" w:rsidP="00F8545E">
      <w:pPr>
        <w:rPr>
          <w:rStyle w:val="Hyperlink"/>
          <w:rFonts w:cs="Arial"/>
        </w:rPr>
      </w:pPr>
      <w:r w:rsidRPr="00B2525C">
        <w:rPr>
          <w:rFonts w:cs="Arial"/>
        </w:rPr>
        <w:lastRenderedPageBreak/>
        <w:t>Replan</w:t>
      </w:r>
      <w:r w:rsidR="00C162DE" w:rsidRPr="00B2525C">
        <w:rPr>
          <w:rFonts w:cs="Arial"/>
        </w:rPr>
        <w:t xml:space="preserve">, 2021. Moonee Valley Population Forecast </w:t>
      </w:r>
      <w:hyperlink r:id="rId136" w:history="1">
        <w:r w:rsidR="00C162DE" w:rsidRPr="00B2525C">
          <w:rPr>
            <w:rStyle w:val="Hyperlink"/>
            <w:rFonts w:cs="Arial"/>
          </w:rPr>
          <w:t>https://app.remplan.com.au/mooneevalley/forecast/households/householdtype?state=x91ocGQbkcLaVZGFLEP1wS5fRSWaDhAJyxtZsPMgKNhgVrirsGAtYpR</w:t>
        </w:r>
      </w:hyperlink>
    </w:p>
    <w:p w14:paraId="7EC9CB1C" w14:textId="77777777" w:rsidR="00273221" w:rsidRPr="00B2525C" w:rsidRDefault="00273221" w:rsidP="00F8545E">
      <w:pPr>
        <w:rPr>
          <w:rFonts w:cs="Arial"/>
        </w:rPr>
      </w:pPr>
      <w:r w:rsidRPr="00B2525C">
        <w:rPr>
          <w:rFonts w:cs="Arial"/>
          <w:color w:val="222222"/>
          <w:shd w:val="clear" w:color="auto" w:fill="FFFFFF"/>
        </w:rPr>
        <w:t>Rickards, L., Bosomworth, K., Valentine, S. and Dunn, K., 2019. Submission to the Victorian Government Inquiry into Tackling Climate Change in Victorian Communities.</w:t>
      </w:r>
    </w:p>
    <w:p w14:paraId="1E81FD24" w14:textId="77777777" w:rsidR="008424C0" w:rsidRPr="00B2525C" w:rsidRDefault="008424C0" w:rsidP="00F8545E">
      <w:pPr>
        <w:rPr>
          <w:rFonts w:cs="Arial"/>
        </w:rPr>
      </w:pPr>
      <w:r w:rsidRPr="00B2525C">
        <w:rPr>
          <w:rFonts w:cs="Arial"/>
        </w:rPr>
        <w:t xml:space="preserve">RMIT Centre for Urban Research, 2018. Creating liveable cities in Australia: A scorecard and priority recommendations for Melbourne, </w:t>
      </w:r>
      <w:hyperlink r:id="rId137">
        <w:r w:rsidRPr="00B2525C">
          <w:rPr>
            <w:rFonts w:cs="Arial"/>
            <w:color w:val="0462C1"/>
            <w:u w:val="single" w:color="0462C1"/>
          </w:rPr>
          <w:t>https://cur.org.au/cms/wp-content/uploads/2018/09/melbourne-city-</w:t>
        </w:r>
      </w:hyperlink>
      <w:r w:rsidRPr="00B2525C">
        <w:rPr>
          <w:rFonts w:cs="Arial"/>
          <w:color w:val="0462C1"/>
        </w:rPr>
        <w:t xml:space="preserve"> </w:t>
      </w:r>
      <w:hyperlink r:id="rId138">
        <w:r w:rsidRPr="00B2525C">
          <w:rPr>
            <w:rFonts w:cs="Arial"/>
            <w:color w:val="0462C1"/>
            <w:u w:val="single" w:color="0462C1"/>
          </w:rPr>
          <w:t>score-cards.pdf</w:t>
        </w:r>
      </w:hyperlink>
    </w:p>
    <w:p w14:paraId="7BD90D3D" w14:textId="77777777" w:rsidR="00FF18E1" w:rsidRPr="00B2525C" w:rsidRDefault="00FF18E1" w:rsidP="00F8545E">
      <w:pPr>
        <w:rPr>
          <w:rFonts w:cs="Arial"/>
          <w:color w:val="222222"/>
          <w:shd w:val="clear" w:color="auto" w:fill="FFFFFF"/>
        </w:rPr>
      </w:pPr>
      <w:r w:rsidRPr="00B2525C">
        <w:rPr>
          <w:rFonts w:cs="Arial"/>
          <w:color w:val="222222"/>
          <w:shd w:val="clear" w:color="auto" w:fill="FFFFFF"/>
        </w:rPr>
        <w:t xml:space="preserve">Roche, A., </w:t>
      </w:r>
      <w:proofErr w:type="spellStart"/>
      <w:r w:rsidRPr="00B2525C">
        <w:rPr>
          <w:rFonts w:cs="Arial"/>
          <w:color w:val="222222"/>
          <w:shd w:val="clear" w:color="auto" w:fill="FFFFFF"/>
        </w:rPr>
        <w:t>Kostadinov</w:t>
      </w:r>
      <w:proofErr w:type="spellEnd"/>
      <w:r w:rsidRPr="00B2525C">
        <w:rPr>
          <w:rFonts w:cs="Arial"/>
          <w:color w:val="222222"/>
          <w:shd w:val="clear" w:color="auto" w:fill="FFFFFF"/>
        </w:rPr>
        <w:t xml:space="preserve">, V., Fischer, J., Nicholas, R., O'Rourke, K., </w:t>
      </w:r>
      <w:proofErr w:type="spellStart"/>
      <w:r w:rsidRPr="00B2525C">
        <w:rPr>
          <w:rFonts w:cs="Arial"/>
          <w:color w:val="222222"/>
          <w:shd w:val="clear" w:color="auto" w:fill="FFFFFF"/>
        </w:rPr>
        <w:t>Pidd</w:t>
      </w:r>
      <w:proofErr w:type="spellEnd"/>
      <w:r w:rsidRPr="00B2525C">
        <w:rPr>
          <w:rFonts w:cs="Arial"/>
          <w:color w:val="222222"/>
          <w:shd w:val="clear" w:color="auto" w:fill="FFFFFF"/>
        </w:rPr>
        <w:t xml:space="preserve">, K. and </w:t>
      </w:r>
      <w:proofErr w:type="spellStart"/>
      <w:r w:rsidRPr="00B2525C">
        <w:rPr>
          <w:rFonts w:cs="Arial"/>
          <w:color w:val="222222"/>
          <w:shd w:val="clear" w:color="auto" w:fill="FFFFFF"/>
        </w:rPr>
        <w:t>Trifonoff</w:t>
      </w:r>
      <w:proofErr w:type="spellEnd"/>
      <w:r w:rsidRPr="00B2525C">
        <w:rPr>
          <w:rFonts w:cs="Arial"/>
          <w:color w:val="222222"/>
          <w:shd w:val="clear" w:color="auto" w:fill="FFFFFF"/>
        </w:rPr>
        <w:t>, A., 2015. Addressing inequities in alcohol consumption and related harms. </w:t>
      </w:r>
      <w:r w:rsidRPr="00B2525C">
        <w:rPr>
          <w:rFonts w:cs="Arial"/>
          <w:i/>
          <w:iCs/>
          <w:color w:val="222222"/>
          <w:shd w:val="clear" w:color="auto" w:fill="FFFFFF"/>
        </w:rPr>
        <w:t>Health promotion international</w:t>
      </w:r>
      <w:r w:rsidRPr="00B2525C">
        <w:rPr>
          <w:rFonts w:cs="Arial"/>
          <w:color w:val="222222"/>
          <w:shd w:val="clear" w:color="auto" w:fill="FFFFFF"/>
        </w:rPr>
        <w:t>, </w:t>
      </w:r>
      <w:r w:rsidRPr="00B2525C">
        <w:rPr>
          <w:rFonts w:cs="Arial"/>
          <w:i/>
          <w:iCs/>
          <w:color w:val="222222"/>
          <w:shd w:val="clear" w:color="auto" w:fill="FFFFFF"/>
        </w:rPr>
        <w:t>30</w:t>
      </w:r>
      <w:r w:rsidRPr="00B2525C">
        <w:rPr>
          <w:rFonts w:cs="Arial"/>
          <w:color w:val="222222"/>
          <w:shd w:val="clear" w:color="auto" w:fill="FFFFFF"/>
        </w:rPr>
        <w:t xml:space="preserve">(suppl_2), </w:t>
      </w:r>
      <w:proofErr w:type="gramStart"/>
      <w:r w:rsidRPr="00B2525C">
        <w:rPr>
          <w:rFonts w:cs="Arial"/>
          <w:color w:val="222222"/>
          <w:shd w:val="clear" w:color="auto" w:fill="FFFFFF"/>
        </w:rPr>
        <w:t>pp.ii</w:t>
      </w:r>
      <w:proofErr w:type="gramEnd"/>
      <w:r w:rsidRPr="00B2525C">
        <w:rPr>
          <w:rFonts w:cs="Arial"/>
          <w:color w:val="222222"/>
          <w:shd w:val="clear" w:color="auto" w:fill="FFFFFF"/>
        </w:rPr>
        <w:t>20-ii35.</w:t>
      </w:r>
    </w:p>
    <w:p w14:paraId="50DDE215" w14:textId="77777777" w:rsidR="00F01177" w:rsidRPr="00B2525C" w:rsidRDefault="00F01177" w:rsidP="00F8545E">
      <w:pPr>
        <w:rPr>
          <w:rFonts w:cs="Arial"/>
        </w:rPr>
      </w:pPr>
      <w:r w:rsidRPr="00B2525C">
        <w:rPr>
          <w:rFonts w:cs="Arial"/>
        </w:rPr>
        <w:t xml:space="preserve">Rosier, K, 2021, </w:t>
      </w:r>
      <w:r w:rsidR="00BA32C6" w:rsidRPr="00B2525C">
        <w:rPr>
          <w:rFonts w:cs="Arial"/>
        </w:rPr>
        <w:t>‘</w:t>
      </w:r>
      <w:r w:rsidRPr="00B2525C">
        <w:rPr>
          <w:rFonts w:cs="Arial"/>
          <w:color w:val="3E343A"/>
        </w:rPr>
        <w:t>Food insecurity in Australia: What is it, who experiences it and how can child and family services support families experiencing it?</w:t>
      </w:r>
      <w:r w:rsidR="00BA32C6" w:rsidRPr="00B2525C">
        <w:rPr>
          <w:rFonts w:cs="Arial"/>
          <w:color w:val="3E343A"/>
        </w:rPr>
        <w:t>’</w:t>
      </w:r>
      <w:hyperlink r:id="rId139" w:history="1">
        <w:r w:rsidR="00BA32C6" w:rsidRPr="00B2525C">
          <w:rPr>
            <w:rStyle w:val="Hyperlink"/>
            <w:rFonts w:cs="Arial"/>
          </w:rPr>
          <w:t>https://aifs.gov.au/cfca/publications/food-insecurity-australia-what-it-who-experiences-it-and-how-can-child</w:t>
        </w:r>
      </w:hyperlink>
    </w:p>
    <w:p w14:paraId="09E91B7C" w14:textId="06C5098C" w:rsidR="007A6318" w:rsidRDefault="007A6318" w:rsidP="00F8545E">
      <w:pPr>
        <w:rPr>
          <w:rFonts w:cs="Arial"/>
          <w:color w:val="000000"/>
          <w:shd w:val="clear" w:color="auto" w:fill="FFFFFF"/>
        </w:rPr>
      </w:pPr>
      <w:r w:rsidRPr="007A6318">
        <w:rPr>
          <w:rFonts w:cs="Circular Std Book"/>
          <w:color w:val="222222"/>
          <w:shd w:val="clear" w:color="auto" w:fill="FFFFFF"/>
        </w:rPr>
        <w:t xml:space="preserve">Sarris, A., </w:t>
      </w:r>
      <w:proofErr w:type="spellStart"/>
      <w:r w:rsidRPr="007A6318">
        <w:rPr>
          <w:rFonts w:cs="Circular Std Book"/>
          <w:color w:val="222222"/>
          <w:shd w:val="clear" w:color="auto" w:fill="FFFFFF"/>
        </w:rPr>
        <w:t>Augoustinos</w:t>
      </w:r>
      <w:proofErr w:type="spellEnd"/>
      <w:r w:rsidRPr="007A6318">
        <w:rPr>
          <w:rFonts w:cs="Circular Std Book"/>
          <w:color w:val="222222"/>
          <w:shd w:val="clear" w:color="auto" w:fill="FFFFFF"/>
        </w:rPr>
        <w:t>, M., Williams, N., &amp; Ferguson, B. (2020). Caregiving work: The experiences and needs of caregivers in Australia. </w:t>
      </w:r>
      <w:r w:rsidRPr="007A6318">
        <w:rPr>
          <w:rFonts w:cs="Circular Std Book"/>
          <w:i/>
          <w:iCs/>
          <w:color w:val="222222"/>
          <w:shd w:val="clear" w:color="auto" w:fill="FFFFFF"/>
        </w:rPr>
        <w:t>Health &amp; social care in the community</w:t>
      </w:r>
      <w:r w:rsidRPr="007A6318">
        <w:rPr>
          <w:rFonts w:cs="Circular Std Book"/>
          <w:color w:val="222222"/>
          <w:shd w:val="clear" w:color="auto" w:fill="FFFFFF"/>
        </w:rPr>
        <w:t>, </w:t>
      </w:r>
      <w:r w:rsidRPr="007A6318">
        <w:rPr>
          <w:rFonts w:cs="Circular Std Book"/>
          <w:i/>
          <w:iCs/>
          <w:color w:val="222222"/>
          <w:shd w:val="clear" w:color="auto" w:fill="FFFFFF"/>
        </w:rPr>
        <w:t>28</w:t>
      </w:r>
      <w:r w:rsidRPr="007A6318">
        <w:rPr>
          <w:rFonts w:cs="Circular Std Book"/>
          <w:color w:val="222222"/>
          <w:shd w:val="clear" w:color="auto" w:fill="FFFFFF"/>
        </w:rPr>
        <w:t>(5), 1764-1771</w:t>
      </w:r>
      <w:r>
        <w:rPr>
          <w:rFonts w:ascii="Arial" w:hAnsi="Arial" w:cs="Arial"/>
          <w:color w:val="222222"/>
          <w:sz w:val="20"/>
          <w:szCs w:val="20"/>
          <w:shd w:val="clear" w:color="auto" w:fill="FFFFFF"/>
        </w:rPr>
        <w:t>.</w:t>
      </w:r>
    </w:p>
    <w:p w14:paraId="6B372275" w14:textId="29B117C1" w:rsidR="00FF18E1" w:rsidRPr="00B2525C" w:rsidRDefault="00746E6D" w:rsidP="00F8545E">
      <w:pPr>
        <w:rPr>
          <w:rFonts w:cs="Arial"/>
        </w:rPr>
      </w:pPr>
      <w:proofErr w:type="spellStart"/>
      <w:r w:rsidRPr="00B2525C">
        <w:rPr>
          <w:rFonts w:cs="Arial"/>
          <w:color w:val="000000"/>
          <w:shd w:val="clear" w:color="auto" w:fill="FFFFFF"/>
        </w:rPr>
        <w:t>Shisegar</w:t>
      </w:r>
      <w:proofErr w:type="spellEnd"/>
      <w:r w:rsidRPr="00B2525C">
        <w:rPr>
          <w:rFonts w:cs="Arial"/>
          <w:shd w:val="clear" w:color="auto" w:fill="FFFFFF"/>
        </w:rPr>
        <w:t>, N. (</w:t>
      </w:r>
      <w:r w:rsidRPr="00B2525C">
        <w:rPr>
          <w:rFonts w:cs="Arial"/>
          <w:color w:val="000000"/>
          <w:shd w:val="clear" w:color="auto" w:fill="FFFFFF"/>
        </w:rPr>
        <w:t>2014</w:t>
      </w:r>
      <w:r w:rsidRPr="00B2525C">
        <w:rPr>
          <w:rFonts w:cs="Arial"/>
          <w:shd w:val="clear" w:color="auto" w:fill="FFFFFF"/>
        </w:rPr>
        <w:t>). The </w:t>
      </w:r>
      <w:r w:rsidRPr="00B2525C">
        <w:rPr>
          <w:rFonts w:cs="Arial"/>
          <w:color w:val="000000"/>
          <w:shd w:val="clear" w:color="auto" w:fill="FFFFFF"/>
        </w:rPr>
        <w:t>impact</w:t>
      </w:r>
      <w:r w:rsidRPr="00B2525C">
        <w:rPr>
          <w:rFonts w:cs="Arial"/>
          <w:shd w:val="clear" w:color="auto" w:fill="FFFFFF"/>
        </w:rPr>
        <w:t> of </w:t>
      </w:r>
      <w:r w:rsidRPr="00B2525C">
        <w:rPr>
          <w:rFonts w:cs="Arial"/>
          <w:color w:val="000000"/>
          <w:shd w:val="clear" w:color="auto" w:fill="FFFFFF"/>
        </w:rPr>
        <w:t>green</w:t>
      </w:r>
      <w:r w:rsidRPr="00B2525C">
        <w:rPr>
          <w:rFonts w:cs="Arial"/>
          <w:shd w:val="clear" w:color="auto" w:fill="FFFFFF"/>
        </w:rPr>
        <w:t> </w:t>
      </w:r>
      <w:r w:rsidRPr="00B2525C">
        <w:rPr>
          <w:rFonts w:cs="Arial"/>
          <w:color w:val="000000"/>
          <w:shd w:val="clear" w:color="auto" w:fill="FFFFFF"/>
        </w:rPr>
        <w:t>areas</w:t>
      </w:r>
      <w:r w:rsidRPr="00B2525C">
        <w:rPr>
          <w:rFonts w:cs="Arial"/>
          <w:shd w:val="clear" w:color="auto" w:fill="FFFFFF"/>
        </w:rPr>
        <w:t> on mitigating </w:t>
      </w:r>
      <w:r w:rsidRPr="00B2525C">
        <w:rPr>
          <w:rFonts w:cs="Arial"/>
          <w:color w:val="000000"/>
          <w:shd w:val="clear" w:color="auto" w:fill="FFFFFF"/>
        </w:rPr>
        <w:t>urban</w:t>
      </w:r>
      <w:r w:rsidRPr="00B2525C">
        <w:rPr>
          <w:rFonts w:cs="Arial"/>
          <w:shd w:val="clear" w:color="auto" w:fill="FFFFFF"/>
        </w:rPr>
        <w:t> </w:t>
      </w:r>
      <w:r w:rsidRPr="00B2525C">
        <w:rPr>
          <w:rFonts w:cs="Arial"/>
          <w:color w:val="000000"/>
          <w:shd w:val="clear" w:color="auto" w:fill="FFFFFF"/>
        </w:rPr>
        <w:t>heat</w:t>
      </w:r>
      <w:r w:rsidRPr="00B2525C">
        <w:rPr>
          <w:rFonts w:cs="Arial"/>
          <w:shd w:val="clear" w:color="auto" w:fill="FFFFFF"/>
        </w:rPr>
        <w:t> island </w:t>
      </w:r>
      <w:r w:rsidRPr="00B2525C">
        <w:rPr>
          <w:rFonts w:cs="Arial"/>
          <w:color w:val="000000"/>
          <w:shd w:val="clear" w:color="auto" w:fill="FFFFFF"/>
        </w:rPr>
        <w:t>effect</w:t>
      </w:r>
      <w:r w:rsidRPr="00B2525C">
        <w:rPr>
          <w:rFonts w:cs="Arial"/>
          <w:shd w:val="clear" w:color="auto" w:fill="FFFFFF"/>
        </w:rPr>
        <w:t>:</w:t>
      </w:r>
      <w:r w:rsidRPr="00B2525C">
        <w:rPr>
          <w:rFonts w:cs="Arial"/>
        </w:rPr>
        <w:br/>
      </w:r>
      <w:r w:rsidRPr="00B2525C">
        <w:rPr>
          <w:rFonts w:cs="Arial"/>
          <w:shd w:val="clear" w:color="auto" w:fill="FFFFFF"/>
        </w:rPr>
        <w:t>A review. International Journal of Environmental Sustainability, 9, 119</w:t>
      </w:r>
      <w:r w:rsidRPr="00B2525C">
        <w:rPr>
          <w:rFonts w:ascii="Cambria Math" w:hAnsi="Cambria Math" w:cs="Cambria Math"/>
          <w:shd w:val="clear" w:color="auto" w:fill="FFFFFF"/>
        </w:rPr>
        <w:t>‐</w:t>
      </w:r>
      <w:r w:rsidRPr="00B2525C">
        <w:rPr>
          <w:rFonts w:cs="Arial"/>
          <w:shd w:val="clear" w:color="auto" w:fill="FFFFFF"/>
        </w:rPr>
        <w:t>130 </w:t>
      </w:r>
    </w:p>
    <w:p w14:paraId="3D31D2BF" w14:textId="77777777" w:rsidR="00E53C9B" w:rsidRPr="00B2525C" w:rsidRDefault="00932D1D" w:rsidP="00F8545E">
      <w:pPr>
        <w:rPr>
          <w:rFonts w:cs="Arial"/>
        </w:rPr>
      </w:pPr>
      <w:r w:rsidRPr="00B2525C">
        <w:rPr>
          <w:rFonts w:cs="Arial"/>
          <w:color w:val="222222"/>
          <w:shd w:val="clear" w:color="auto" w:fill="FFFFFF"/>
        </w:rPr>
        <w:t xml:space="preserve">Sorensen, C., Murray, V., </w:t>
      </w:r>
      <w:proofErr w:type="spellStart"/>
      <w:r w:rsidRPr="00B2525C">
        <w:rPr>
          <w:rFonts w:cs="Arial"/>
          <w:color w:val="222222"/>
          <w:shd w:val="clear" w:color="auto" w:fill="FFFFFF"/>
        </w:rPr>
        <w:t>Lemery</w:t>
      </w:r>
      <w:proofErr w:type="spellEnd"/>
      <w:r w:rsidRPr="00B2525C">
        <w:rPr>
          <w:rFonts w:cs="Arial"/>
          <w:color w:val="222222"/>
          <w:shd w:val="clear" w:color="auto" w:fill="FFFFFF"/>
        </w:rPr>
        <w:t xml:space="preserve">, J. and </w:t>
      </w:r>
      <w:proofErr w:type="spellStart"/>
      <w:r w:rsidRPr="00B2525C">
        <w:rPr>
          <w:rFonts w:cs="Arial"/>
          <w:color w:val="222222"/>
          <w:shd w:val="clear" w:color="auto" w:fill="FFFFFF"/>
        </w:rPr>
        <w:t>Balbus</w:t>
      </w:r>
      <w:proofErr w:type="spellEnd"/>
      <w:r w:rsidRPr="00B2525C">
        <w:rPr>
          <w:rFonts w:cs="Arial"/>
          <w:color w:val="222222"/>
          <w:shd w:val="clear" w:color="auto" w:fill="FFFFFF"/>
        </w:rPr>
        <w:t>, J., 2018. Climate change and women's health: Impacts and policy directions. </w:t>
      </w:r>
      <w:proofErr w:type="spellStart"/>
      <w:r w:rsidRPr="00B2525C">
        <w:rPr>
          <w:rFonts w:cs="Arial"/>
          <w:i/>
          <w:iCs/>
          <w:color w:val="222222"/>
          <w:shd w:val="clear" w:color="auto" w:fill="FFFFFF"/>
        </w:rPr>
        <w:t>PLoS</w:t>
      </w:r>
      <w:proofErr w:type="spellEnd"/>
      <w:r w:rsidRPr="00B2525C">
        <w:rPr>
          <w:rFonts w:cs="Arial"/>
          <w:i/>
          <w:iCs/>
          <w:color w:val="222222"/>
          <w:shd w:val="clear" w:color="auto" w:fill="FFFFFF"/>
        </w:rPr>
        <w:t xml:space="preserve"> Medicine</w:t>
      </w:r>
      <w:r w:rsidRPr="00B2525C">
        <w:rPr>
          <w:rFonts w:cs="Arial"/>
          <w:color w:val="222222"/>
          <w:shd w:val="clear" w:color="auto" w:fill="FFFFFF"/>
        </w:rPr>
        <w:t>, </w:t>
      </w:r>
      <w:r w:rsidRPr="00B2525C">
        <w:rPr>
          <w:rFonts w:cs="Arial"/>
          <w:i/>
          <w:iCs/>
          <w:color w:val="222222"/>
          <w:shd w:val="clear" w:color="auto" w:fill="FFFFFF"/>
        </w:rPr>
        <w:t>15</w:t>
      </w:r>
      <w:r w:rsidRPr="00B2525C">
        <w:rPr>
          <w:rFonts w:cs="Arial"/>
          <w:color w:val="222222"/>
          <w:shd w:val="clear" w:color="auto" w:fill="FFFFFF"/>
        </w:rPr>
        <w:t xml:space="preserve">(7), </w:t>
      </w:r>
      <w:proofErr w:type="gramStart"/>
      <w:r w:rsidRPr="00B2525C">
        <w:rPr>
          <w:rFonts w:cs="Arial"/>
          <w:color w:val="222222"/>
          <w:shd w:val="clear" w:color="auto" w:fill="FFFFFF"/>
        </w:rPr>
        <w:t>p.e</w:t>
      </w:r>
      <w:proofErr w:type="gramEnd"/>
      <w:r w:rsidRPr="00B2525C">
        <w:rPr>
          <w:rFonts w:cs="Arial"/>
          <w:color w:val="222222"/>
          <w:shd w:val="clear" w:color="auto" w:fill="FFFFFF"/>
        </w:rPr>
        <w:t>1002603.</w:t>
      </w:r>
    </w:p>
    <w:p w14:paraId="3B6EC71F" w14:textId="77777777" w:rsidR="00E53C9B" w:rsidRPr="00B2525C" w:rsidRDefault="00BA32C6" w:rsidP="00BA32C6">
      <w:pPr>
        <w:rPr>
          <w:rFonts w:cs="Arial"/>
        </w:rPr>
      </w:pPr>
      <w:r w:rsidRPr="00B2525C">
        <w:rPr>
          <w:rFonts w:cs="Arial"/>
        </w:rPr>
        <w:t xml:space="preserve">Victorian </w:t>
      </w:r>
      <w:r w:rsidR="00E53C9B" w:rsidRPr="00B2525C">
        <w:rPr>
          <w:rFonts w:cs="Arial"/>
        </w:rPr>
        <w:t>Government, 2019</w:t>
      </w:r>
      <w:r w:rsidRPr="00B2525C">
        <w:rPr>
          <w:rFonts w:cs="Arial"/>
        </w:rPr>
        <w:t>. ‘</w:t>
      </w:r>
      <w:r w:rsidR="00E53C9B" w:rsidRPr="00B2525C">
        <w:rPr>
          <w:rFonts w:cs="Arial"/>
        </w:rPr>
        <w:t>State Government of Victoria Ending Family Violence. Victoria’s Plan for Change</w:t>
      </w:r>
      <w:r w:rsidRPr="00B2525C">
        <w:rPr>
          <w:rFonts w:cs="Arial"/>
        </w:rPr>
        <w:t>’</w:t>
      </w:r>
      <w:r w:rsidR="00E53C9B" w:rsidRPr="00B2525C">
        <w:rPr>
          <w:rFonts w:cs="Arial"/>
        </w:rPr>
        <w:t>, Victorian Government</w:t>
      </w:r>
    </w:p>
    <w:p w14:paraId="23D9D305" w14:textId="77777777" w:rsidR="00E53C9B" w:rsidRPr="00B2525C" w:rsidRDefault="00E53C9B" w:rsidP="00BA32C6">
      <w:pPr>
        <w:rPr>
          <w:rFonts w:cs="Arial"/>
        </w:rPr>
      </w:pPr>
      <w:r w:rsidRPr="00B2525C">
        <w:rPr>
          <w:rFonts w:cs="Arial"/>
        </w:rPr>
        <w:t xml:space="preserve">VicHealth, 2014. </w:t>
      </w:r>
      <w:r w:rsidRPr="00B2525C">
        <w:rPr>
          <w:rFonts w:cs="Arial"/>
          <w:i/>
        </w:rPr>
        <w:t>The health costs of violence. Measuring the burden of disease caused by intimate partner violence</w:t>
      </w:r>
      <w:r w:rsidRPr="00B2525C">
        <w:rPr>
          <w:rFonts w:cs="Arial"/>
        </w:rPr>
        <w:t>, Victorian Government, Melbourne</w:t>
      </w:r>
    </w:p>
    <w:p w14:paraId="768129B9" w14:textId="77777777" w:rsidR="00E53C9B" w:rsidRPr="00B2525C" w:rsidRDefault="00251545" w:rsidP="00BA32C6">
      <w:pPr>
        <w:rPr>
          <w:rFonts w:cs="Arial"/>
        </w:rPr>
      </w:pPr>
      <w:r w:rsidRPr="00B2525C">
        <w:rPr>
          <w:rFonts w:cs="Arial"/>
          <w:shd w:val="clear" w:color="auto" w:fill="FFFFFF"/>
        </w:rPr>
        <w:t xml:space="preserve">Won, J., Lee, C., </w:t>
      </w:r>
      <w:proofErr w:type="spellStart"/>
      <w:r w:rsidRPr="00B2525C">
        <w:rPr>
          <w:rFonts w:cs="Arial"/>
          <w:shd w:val="clear" w:color="auto" w:fill="FFFFFF"/>
        </w:rPr>
        <w:t>Forjuoh</w:t>
      </w:r>
      <w:proofErr w:type="spellEnd"/>
      <w:r w:rsidRPr="00B2525C">
        <w:rPr>
          <w:rFonts w:cs="Arial"/>
          <w:shd w:val="clear" w:color="auto" w:fill="FFFFFF"/>
        </w:rPr>
        <w:t xml:space="preserve">, S.N. and </w:t>
      </w:r>
      <w:proofErr w:type="spellStart"/>
      <w:r w:rsidRPr="00B2525C">
        <w:rPr>
          <w:rFonts w:cs="Arial"/>
          <w:shd w:val="clear" w:color="auto" w:fill="FFFFFF"/>
        </w:rPr>
        <w:t>Ory</w:t>
      </w:r>
      <w:proofErr w:type="spellEnd"/>
      <w:r w:rsidRPr="00B2525C">
        <w:rPr>
          <w:rFonts w:cs="Arial"/>
          <w:shd w:val="clear" w:color="auto" w:fill="FFFFFF"/>
        </w:rPr>
        <w:t xml:space="preserve">, M.G., 2016. </w:t>
      </w:r>
      <w:proofErr w:type="spellStart"/>
      <w:r w:rsidRPr="00B2525C">
        <w:rPr>
          <w:rFonts w:cs="Arial"/>
          <w:shd w:val="clear" w:color="auto" w:fill="FFFFFF"/>
        </w:rPr>
        <w:t>Neighborhood</w:t>
      </w:r>
      <w:proofErr w:type="spellEnd"/>
      <w:r w:rsidRPr="00B2525C">
        <w:rPr>
          <w:rFonts w:cs="Arial"/>
          <w:shd w:val="clear" w:color="auto" w:fill="FFFFFF"/>
        </w:rPr>
        <w:t xml:space="preserve"> safety factors associated with older adults' health-related outcomes: a systematic literature review. </w:t>
      </w:r>
      <w:r w:rsidRPr="00B2525C">
        <w:rPr>
          <w:rFonts w:cs="Arial"/>
          <w:i/>
          <w:iCs/>
          <w:shd w:val="clear" w:color="auto" w:fill="FFFFFF"/>
        </w:rPr>
        <w:t>Social Science &amp; Medicine</w:t>
      </w:r>
      <w:r w:rsidRPr="00B2525C">
        <w:rPr>
          <w:rFonts w:cs="Arial"/>
          <w:shd w:val="clear" w:color="auto" w:fill="FFFFFF"/>
        </w:rPr>
        <w:t>, </w:t>
      </w:r>
      <w:r w:rsidRPr="00B2525C">
        <w:rPr>
          <w:rFonts w:cs="Arial"/>
          <w:i/>
          <w:iCs/>
          <w:shd w:val="clear" w:color="auto" w:fill="FFFFFF"/>
        </w:rPr>
        <w:t>165</w:t>
      </w:r>
      <w:r w:rsidRPr="00B2525C">
        <w:rPr>
          <w:rFonts w:cs="Arial"/>
          <w:shd w:val="clear" w:color="auto" w:fill="FFFFFF"/>
        </w:rPr>
        <w:t>, pp.177-</w:t>
      </w:r>
      <w:proofErr w:type="gramStart"/>
      <w:r w:rsidRPr="00B2525C">
        <w:rPr>
          <w:rFonts w:cs="Arial"/>
          <w:shd w:val="clear" w:color="auto" w:fill="FFFFFF"/>
        </w:rPr>
        <w:t>186.</w:t>
      </w:r>
      <w:r w:rsidRPr="00B2525C">
        <w:rPr>
          <w:rFonts w:cs="Arial"/>
        </w:rPr>
        <w:t>.</w:t>
      </w:r>
      <w:proofErr w:type="gramEnd"/>
    </w:p>
    <w:p w14:paraId="542AA647" w14:textId="77777777" w:rsidR="00EC4E90" w:rsidRPr="00B2525C" w:rsidRDefault="00B01D14" w:rsidP="00BA32C6">
      <w:pPr>
        <w:rPr>
          <w:rFonts w:cs="Arial"/>
        </w:rPr>
      </w:pPr>
      <w:r w:rsidRPr="00B2525C">
        <w:rPr>
          <w:rFonts w:cs="Arial"/>
        </w:rPr>
        <w:t>Turning Point, 2020, ‘</w:t>
      </w:r>
      <w:proofErr w:type="spellStart"/>
      <w:r w:rsidRPr="00B2525C">
        <w:rPr>
          <w:rFonts w:cs="Arial"/>
        </w:rPr>
        <w:t>AODStats</w:t>
      </w:r>
      <w:proofErr w:type="spellEnd"/>
      <w:r w:rsidRPr="00B2525C">
        <w:rPr>
          <w:rFonts w:cs="Arial"/>
        </w:rPr>
        <w:t xml:space="preserve">’, Eastern Health, </w:t>
      </w:r>
      <w:hyperlink r:id="rId140">
        <w:r w:rsidRPr="00B2525C">
          <w:rPr>
            <w:rFonts w:cs="Arial"/>
          </w:rPr>
          <w:t>https://aodstats.org.au/index.php</w:t>
        </w:r>
      </w:hyperlink>
    </w:p>
    <w:p w14:paraId="0339C63E" w14:textId="77777777" w:rsidR="00F01177" w:rsidRPr="00B2525C" w:rsidRDefault="00F01177" w:rsidP="00F8545E">
      <w:pPr>
        <w:rPr>
          <w:rFonts w:cs="Arial"/>
        </w:rPr>
      </w:pPr>
      <w:r w:rsidRPr="00B2525C">
        <w:rPr>
          <w:rFonts w:cs="Arial"/>
        </w:rPr>
        <w:t xml:space="preserve">VicHealth, 2012, Local Government Action Guide,  No.7 </w:t>
      </w:r>
      <w:r w:rsidRPr="00B2525C">
        <w:rPr>
          <w:rFonts w:cs="Arial"/>
          <w:i/>
        </w:rPr>
        <w:t xml:space="preserve">Supporting healthy eating, </w:t>
      </w:r>
      <w:r w:rsidRPr="00B2525C">
        <w:rPr>
          <w:rFonts w:cs="Arial"/>
        </w:rPr>
        <w:t>2012, &lt;</w:t>
      </w:r>
      <w:hyperlink r:id="rId141">
        <w:r w:rsidRPr="00B2525C">
          <w:rPr>
            <w:rFonts w:cs="Arial"/>
          </w:rPr>
          <w:t>https://www.vichealth.vic.gov.au/-/media/Indicators/Overview-</w:t>
        </w:r>
      </w:hyperlink>
      <w:r w:rsidRPr="00B2525C">
        <w:rPr>
          <w:rFonts w:cs="Arial"/>
        </w:rPr>
        <w:t xml:space="preserve"> </w:t>
      </w:r>
      <w:hyperlink r:id="rId142">
        <w:r w:rsidRPr="00B2525C">
          <w:rPr>
            <w:rFonts w:cs="Arial"/>
          </w:rPr>
          <w:t>sheets/10/VH_LG_Guides_Health-Eating_web.pdf?la=en&amp;hash=52BF1B610FEEB1439DACE0E274F6847267F31C49</w:t>
        </w:r>
      </w:hyperlink>
    </w:p>
    <w:p w14:paraId="5A76E0D5" w14:textId="77777777" w:rsidR="00EC4E90" w:rsidRPr="00B2525C" w:rsidRDefault="00B01D14" w:rsidP="00F8545E">
      <w:pPr>
        <w:rPr>
          <w:rFonts w:cs="Arial"/>
        </w:rPr>
      </w:pPr>
      <w:r w:rsidRPr="00B2525C">
        <w:rPr>
          <w:rFonts w:cs="Arial"/>
        </w:rPr>
        <w:t xml:space="preserve">Victorian Commission for Gambling and Liquor </w:t>
      </w:r>
      <w:proofErr w:type="spellStart"/>
      <w:proofErr w:type="gramStart"/>
      <w:r w:rsidRPr="00B2525C">
        <w:rPr>
          <w:rFonts w:cs="Arial"/>
        </w:rPr>
        <w:t>Regulation,</w:t>
      </w:r>
      <w:r w:rsidR="00BA32C6" w:rsidRPr="00B2525C">
        <w:rPr>
          <w:rFonts w:cs="Arial"/>
        </w:rPr>
        <w:t>ND</w:t>
      </w:r>
      <w:proofErr w:type="spellEnd"/>
      <w:proofErr w:type="gramEnd"/>
      <w:r w:rsidR="00BA32C6" w:rsidRPr="00B2525C">
        <w:rPr>
          <w:rFonts w:cs="Arial"/>
        </w:rPr>
        <w:t>.</w:t>
      </w:r>
      <w:r w:rsidRPr="00B2525C">
        <w:rPr>
          <w:rFonts w:cs="Arial"/>
        </w:rPr>
        <w:t xml:space="preserve"> ‘Gambling data’, Victorian Government, Melbourne, </w:t>
      </w:r>
      <w:hyperlink r:id="rId143">
        <w:r w:rsidRPr="00B2525C">
          <w:rPr>
            <w:rFonts w:cs="Arial"/>
          </w:rPr>
          <w:t>https://www.vcglr.vic.gov.au/gambling-data</w:t>
        </w:r>
      </w:hyperlink>
      <w:r w:rsidRPr="00B2525C">
        <w:rPr>
          <w:rFonts w:cs="Arial"/>
        </w:rPr>
        <w:t>, accessed 22 September 2020.</w:t>
      </w:r>
    </w:p>
    <w:p w14:paraId="1D9C40F2" w14:textId="77777777" w:rsidR="00EC4E90" w:rsidRPr="00B2525C" w:rsidRDefault="00B01D14" w:rsidP="00F8545E">
      <w:pPr>
        <w:rPr>
          <w:rFonts w:cs="Arial"/>
        </w:rPr>
      </w:pPr>
      <w:r w:rsidRPr="00B2525C">
        <w:rPr>
          <w:rFonts w:cs="Arial"/>
        </w:rPr>
        <w:t>Victorian Commission for Gambling and Liquor Regulation,</w:t>
      </w:r>
      <w:r w:rsidR="00BA32C6" w:rsidRPr="00B2525C">
        <w:rPr>
          <w:rFonts w:cs="Arial"/>
        </w:rPr>
        <w:t xml:space="preserve"> ND.</w:t>
      </w:r>
      <w:r w:rsidRPr="00B2525C">
        <w:rPr>
          <w:rFonts w:cs="Arial"/>
        </w:rPr>
        <w:t xml:space="preserve"> ‘Liquor data’, Victorian Government, Melbourne, </w:t>
      </w:r>
      <w:hyperlink r:id="rId144">
        <w:r w:rsidRPr="00B2525C">
          <w:rPr>
            <w:rFonts w:cs="Arial"/>
          </w:rPr>
          <w:t>https://www.vcglr.vic.gov.au/liquor-data</w:t>
        </w:r>
      </w:hyperlink>
      <w:r w:rsidRPr="00B2525C">
        <w:rPr>
          <w:rFonts w:cs="Arial"/>
        </w:rPr>
        <w:t>, accessed 22 September 2020.</w:t>
      </w:r>
    </w:p>
    <w:p w14:paraId="0E744E2C" w14:textId="77777777" w:rsidR="00A62A5D" w:rsidRPr="00B2525C" w:rsidRDefault="00A62A5D" w:rsidP="00F8545E">
      <w:pPr>
        <w:rPr>
          <w:rFonts w:cs="Arial"/>
          <w:color w:val="000000"/>
        </w:rPr>
      </w:pPr>
      <w:r w:rsidRPr="00B2525C">
        <w:rPr>
          <w:rFonts w:cs="Arial"/>
        </w:rPr>
        <w:t xml:space="preserve">Victorian Government, 2016. </w:t>
      </w:r>
      <w:r w:rsidR="00BA32C6" w:rsidRPr="00B2525C">
        <w:rPr>
          <w:rFonts w:cs="Arial"/>
        </w:rPr>
        <w:t>‘</w:t>
      </w:r>
      <w:r w:rsidRPr="00B2525C">
        <w:rPr>
          <w:rStyle w:val="field"/>
          <w:rFonts w:cs="Arial"/>
          <w:color w:val="000000"/>
        </w:rPr>
        <w:t>Access to Public Dental Services in Victoria</w:t>
      </w:r>
      <w:r w:rsidR="00BA32C6" w:rsidRPr="00B2525C">
        <w:rPr>
          <w:rStyle w:val="field"/>
          <w:rFonts w:cs="Arial"/>
          <w:color w:val="000000"/>
        </w:rPr>
        <w:t>’</w:t>
      </w:r>
    </w:p>
    <w:p w14:paraId="1EE7A1B0" w14:textId="77777777" w:rsidR="00A62A5D" w:rsidRPr="00B2525C" w:rsidRDefault="00A62A5D" w:rsidP="00F8545E">
      <w:pPr>
        <w:rPr>
          <w:rFonts w:cs="Arial"/>
        </w:rPr>
      </w:pPr>
      <w:r w:rsidRPr="00B2525C">
        <w:rPr>
          <w:rFonts w:cs="Arial"/>
        </w:rPr>
        <w:lastRenderedPageBreak/>
        <w:t>https://www.audit.vic.gov.au/report/access-public-dental-services-victoria?section=32000--1-audit-context</w:t>
      </w:r>
    </w:p>
    <w:p w14:paraId="37329D27" w14:textId="77777777" w:rsidR="00932D1D" w:rsidRPr="00B2525C" w:rsidRDefault="00932D1D" w:rsidP="00F8545E">
      <w:pPr>
        <w:rPr>
          <w:rFonts w:cs="Arial"/>
        </w:rPr>
      </w:pPr>
      <w:r w:rsidRPr="00B2525C">
        <w:rPr>
          <w:rFonts w:cs="Arial"/>
        </w:rPr>
        <w:t>Victorian Government</w:t>
      </w:r>
      <w:r w:rsidR="00BA32C6" w:rsidRPr="00B2525C">
        <w:rPr>
          <w:rFonts w:cs="Arial"/>
        </w:rPr>
        <w:t>,</w:t>
      </w:r>
      <w:r w:rsidRPr="00B2525C">
        <w:rPr>
          <w:rFonts w:cs="Arial"/>
        </w:rPr>
        <w:t xml:space="preserve"> 2020. </w:t>
      </w:r>
      <w:r w:rsidR="00BA32C6" w:rsidRPr="00B2525C">
        <w:rPr>
          <w:rFonts w:cs="Arial"/>
        </w:rPr>
        <w:t>‘</w:t>
      </w:r>
      <w:r w:rsidRPr="00B2525C">
        <w:rPr>
          <w:rFonts w:cs="Arial"/>
        </w:rPr>
        <w:t>Health impacts of climate change</w:t>
      </w:r>
      <w:r w:rsidR="00BA32C6" w:rsidRPr="00B2525C">
        <w:rPr>
          <w:rFonts w:cs="Arial"/>
        </w:rPr>
        <w:t>’</w:t>
      </w:r>
      <w:r w:rsidRPr="00B2525C">
        <w:rPr>
          <w:rFonts w:cs="Arial"/>
        </w:rPr>
        <w:t xml:space="preserve">, Sustainability Victoria. </w:t>
      </w:r>
      <w:hyperlink r:id="rId145" w:anchor="thermal">
        <w:r w:rsidRPr="00B2525C">
          <w:rPr>
            <w:rFonts w:cs="Arial"/>
            <w:color w:val="0462C1"/>
            <w:w w:val="95"/>
            <w:u w:val="single" w:color="0462C1"/>
          </w:rPr>
          <w:t>https://www.sustainability.vic.gov.au/About-us/Research/Health-and-Climate-Change-Research#thermal</w:t>
        </w:r>
      </w:hyperlink>
    </w:p>
    <w:p w14:paraId="2BC3AE32" w14:textId="77777777" w:rsidR="00EC4E90" w:rsidRPr="00B2525C" w:rsidRDefault="00B01D14" w:rsidP="00F8545E">
      <w:pPr>
        <w:rPr>
          <w:rFonts w:cs="Arial"/>
        </w:rPr>
      </w:pPr>
      <w:r w:rsidRPr="00B2525C">
        <w:rPr>
          <w:rFonts w:cs="Arial"/>
        </w:rPr>
        <w:t xml:space="preserve">Victorian Responsible Gambling Foundation, 2020, ‘Pokies across Victoria’, Victorian Government, Melbourne, </w:t>
      </w:r>
      <w:hyperlink r:id="rId146">
        <w:r w:rsidRPr="00B2525C">
          <w:rPr>
            <w:rFonts w:cs="Arial"/>
          </w:rPr>
          <w:t>https://responsiblegambling.vic.gov.au/resources/gambling-victoria/pokies-across-victoria/moonee-valley/</w:t>
        </w:r>
      </w:hyperlink>
      <w:r w:rsidRPr="00B2525C">
        <w:rPr>
          <w:rFonts w:cs="Arial"/>
        </w:rPr>
        <w:t>, accessed 22 September 2020.</w:t>
      </w:r>
    </w:p>
    <w:p w14:paraId="0CFE8384" w14:textId="77777777" w:rsidR="00BA32C6" w:rsidRPr="00B2525C" w:rsidRDefault="00BA32C6" w:rsidP="00BA32C6">
      <w:pPr>
        <w:rPr>
          <w:rFonts w:cs="Arial"/>
        </w:rPr>
      </w:pPr>
      <w:r w:rsidRPr="00B2525C">
        <w:rPr>
          <w:rFonts w:cs="Arial"/>
        </w:rPr>
        <w:t>Women’s Health West, 2020. ‘Sexual and reproductive health: priorities for regional and municipal health planning’</w:t>
      </w:r>
    </w:p>
    <w:p w14:paraId="1B082025" w14:textId="77777777" w:rsidR="00BA32C6" w:rsidRPr="00B2525C" w:rsidRDefault="00BA32C6" w:rsidP="00F8545E">
      <w:pPr>
        <w:rPr>
          <w:rFonts w:cs="Arial"/>
        </w:rPr>
      </w:pPr>
      <w:r w:rsidRPr="00B2525C">
        <w:rPr>
          <w:rFonts w:cs="Arial"/>
        </w:rPr>
        <w:t>Women’s Health West, 2020. ‘Fact sheet gender equality’ Women’s Health Atlas. Retrieved from http://victorianwomenshealthatlas.net.au</w:t>
      </w:r>
    </w:p>
    <w:p w14:paraId="21C5DFF8" w14:textId="77777777" w:rsidR="005D4591" w:rsidRPr="00B2525C" w:rsidRDefault="005D4591" w:rsidP="00F8545E">
      <w:pPr>
        <w:rPr>
          <w:rFonts w:cs="Arial"/>
        </w:rPr>
      </w:pPr>
      <w:r w:rsidRPr="00B2525C">
        <w:rPr>
          <w:rFonts w:cs="Arial"/>
        </w:rPr>
        <w:t>World Health Organisation</w:t>
      </w:r>
      <w:r w:rsidR="00BA32C6" w:rsidRPr="00B2525C">
        <w:rPr>
          <w:rFonts w:cs="Arial"/>
        </w:rPr>
        <w:t xml:space="preserve">, </w:t>
      </w:r>
      <w:r w:rsidRPr="00B2525C">
        <w:rPr>
          <w:rFonts w:cs="Arial"/>
        </w:rPr>
        <w:t>2010. Developing sexual health programmes. WHO: Geneva.</w:t>
      </w:r>
    </w:p>
    <w:p w14:paraId="3F2DED3C" w14:textId="77777777" w:rsidR="002808B8" w:rsidRPr="00B2525C" w:rsidRDefault="002808B8" w:rsidP="00F8545E">
      <w:pPr>
        <w:rPr>
          <w:rFonts w:cs="Arial"/>
        </w:rPr>
      </w:pPr>
      <w:r w:rsidRPr="00B2525C">
        <w:rPr>
          <w:rFonts w:cs="Arial"/>
        </w:rPr>
        <w:t>World Health Organization, 2018. ‘Mental health – strengthening our response’. https://www.who.int/news-room/fact-sheets/detail/mental-health-strengthening-our-response</w:t>
      </w:r>
    </w:p>
    <w:p w14:paraId="5FF2DCDA" w14:textId="77777777" w:rsidR="00EC4E90" w:rsidRPr="00B2525C" w:rsidRDefault="00B01D14" w:rsidP="006D743B">
      <w:pPr>
        <w:rPr>
          <w:rFonts w:cs="Arial"/>
        </w:rPr>
      </w:pPr>
      <w:r w:rsidRPr="00B2525C">
        <w:rPr>
          <w:rFonts w:cs="Arial"/>
        </w:rPr>
        <w:br w:type="page"/>
      </w:r>
    </w:p>
    <w:p w14:paraId="030F9108" w14:textId="5836B197" w:rsidR="00EC4E90" w:rsidRPr="00B2525C" w:rsidRDefault="00B01D14">
      <w:pPr>
        <w:pStyle w:val="Heading1"/>
        <w:rPr>
          <w:rFonts w:cs="Arial"/>
        </w:rPr>
      </w:pPr>
      <w:bookmarkStart w:id="67" w:name="appendices"/>
      <w:bookmarkStart w:id="68" w:name="_Toc80014173"/>
      <w:r w:rsidRPr="00B2525C">
        <w:rPr>
          <w:rFonts w:cs="Arial"/>
        </w:rPr>
        <w:lastRenderedPageBreak/>
        <w:t>Appendices</w:t>
      </w:r>
      <w:bookmarkEnd w:id="67"/>
      <w:bookmarkEnd w:id="68"/>
    </w:p>
    <w:p w14:paraId="073BA0B9" w14:textId="77777777" w:rsidR="00EC4E90" w:rsidRPr="00B2525C" w:rsidRDefault="00B01D14" w:rsidP="0066429B">
      <w:pPr>
        <w:pStyle w:val="Heading3"/>
        <w:rPr>
          <w:rFonts w:cs="Arial"/>
        </w:rPr>
      </w:pPr>
      <w:bookmarkStart w:id="69" w:name="X7c8046dbba798b723dc2c6164b556230d8e1812"/>
      <w:bookmarkStart w:id="70" w:name="_Toc54868091"/>
      <w:r w:rsidRPr="00B2525C">
        <w:rPr>
          <w:rFonts w:cs="Arial"/>
        </w:rPr>
        <w:t>Victorian Population Health Survey 2017 data, comparison against other local government areas</w:t>
      </w:r>
      <w:bookmarkEnd w:id="69"/>
      <w:bookmarkEnd w:id="70"/>
    </w:p>
    <w:p w14:paraId="15919142" w14:textId="0070CE94" w:rsidR="00F716A6" w:rsidRDefault="00B01D14">
      <w:pPr>
        <w:rPr>
          <w:rFonts w:cs="Arial"/>
        </w:rPr>
      </w:pPr>
      <w:r w:rsidRPr="00B2525C">
        <w:rPr>
          <w:rFonts w:cs="Arial"/>
          <w:noProof/>
        </w:rPr>
        <w:drawing>
          <wp:inline distT="0" distB="0" distL="0" distR="0" wp14:anchorId="351B6D0F" wp14:editId="4D5C418A">
            <wp:extent cx="5924293" cy="6705600"/>
            <wp:effectExtent l="0" t="0" r="635" b="0"/>
            <wp:docPr id="52" name="Picture"/>
            <wp:cNvGraphicFramePr/>
            <a:graphic xmlns:a="http://schemas.openxmlformats.org/drawingml/2006/main">
              <a:graphicData uri="http://schemas.openxmlformats.org/drawingml/2006/picture">
                <pic:pic xmlns:pic="http://schemas.openxmlformats.org/drawingml/2006/picture">
                  <pic:nvPicPr>
                    <pic:cNvPr id="0" name="Picture" descr="health_profile_doc_files/figure-docx/unnamed-chunk-70-1.png"/>
                    <pic:cNvPicPr>
                      <a:picLocks noChangeAspect="1" noChangeArrowheads="1"/>
                    </pic:cNvPicPr>
                  </pic:nvPicPr>
                  <pic:blipFill>
                    <a:blip r:embed="rId147"/>
                    <a:stretch>
                      <a:fillRect/>
                    </a:stretch>
                  </pic:blipFill>
                  <pic:spPr bwMode="auto">
                    <a:xfrm>
                      <a:off x="0" y="0"/>
                      <a:ext cx="5937220" cy="6720232"/>
                    </a:xfrm>
                    <a:prstGeom prst="rect">
                      <a:avLst/>
                    </a:prstGeom>
                    <a:noFill/>
                    <a:ln w="9525">
                      <a:noFill/>
                      <a:headEnd/>
                      <a:tailEnd/>
                    </a:ln>
                  </pic:spPr>
                </pic:pic>
              </a:graphicData>
            </a:graphic>
          </wp:inline>
        </w:drawing>
      </w:r>
    </w:p>
    <w:p w14:paraId="46963AAF" w14:textId="77777777" w:rsidR="00F716A6" w:rsidRPr="00F716A6" w:rsidRDefault="00F716A6" w:rsidP="00F716A6">
      <w:pPr>
        <w:rPr>
          <w:rFonts w:cs="Arial"/>
        </w:rPr>
      </w:pPr>
    </w:p>
    <w:p w14:paraId="02B1C69B" w14:textId="0C563621" w:rsidR="00F716A6" w:rsidRDefault="00F716A6" w:rsidP="00F716A6">
      <w:pPr>
        <w:rPr>
          <w:rFonts w:cs="Arial"/>
        </w:rPr>
      </w:pPr>
    </w:p>
    <w:p w14:paraId="4D5FA052" w14:textId="77777777" w:rsidR="00F716A6" w:rsidRDefault="00F716A6" w:rsidP="00F716A6">
      <w:pPr>
        <w:rPr>
          <w:rFonts w:cs="Arial"/>
        </w:rPr>
        <w:sectPr w:rsidR="00F716A6" w:rsidSect="0004107A">
          <w:pgSz w:w="11910" w:h="16840" w:code="9"/>
          <w:pgMar w:top="1440" w:right="1440" w:bottom="1440" w:left="1440" w:header="708" w:footer="708" w:gutter="0"/>
          <w:pgNumType w:start="1"/>
          <w:cols w:space="708"/>
          <w:docGrid w:linePitch="360"/>
        </w:sectPr>
      </w:pPr>
    </w:p>
    <w:p w14:paraId="62673F57" w14:textId="6898FE8E" w:rsidR="0066429B" w:rsidRPr="00F716A6" w:rsidRDefault="00F716A6" w:rsidP="00F716A6">
      <w:pPr>
        <w:rPr>
          <w:rFonts w:cs="Arial"/>
        </w:rPr>
      </w:pPr>
      <w:r>
        <w:rPr>
          <w:rFonts w:cs="Arial"/>
          <w:noProof/>
        </w:rPr>
        <w:lastRenderedPageBreak/>
        <w:drawing>
          <wp:anchor distT="0" distB="0" distL="114300" distR="114300" simplePos="0" relativeHeight="251715584" behindDoc="0" locked="0" layoutInCell="1" allowOverlap="1" wp14:anchorId="506A6E51" wp14:editId="09897677">
            <wp:simplePos x="0" y="0"/>
            <wp:positionH relativeFrom="margin">
              <wp:posOffset>-202542</wp:posOffset>
            </wp:positionH>
            <wp:positionV relativeFrom="paragraph">
              <wp:posOffset>-914269</wp:posOffset>
            </wp:positionV>
            <wp:extent cx="7772400" cy="10736559"/>
            <wp:effectExtent l="0" t="0" r="0"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104733.tmp"/>
                    <pic:cNvPicPr/>
                  </pic:nvPicPr>
                  <pic:blipFill>
                    <a:blip r:embed="rId148">
                      <a:extLst>
                        <a:ext uri="{28A0092B-C50C-407E-A947-70E740481C1C}">
                          <a14:useLocalDpi xmlns:a14="http://schemas.microsoft.com/office/drawing/2010/main" val="0"/>
                        </a:ext>
                      </a:extLst>
                    </a:blip>
                    <a:stretch>
                      <a:fillRect/>
                    </a:stretch>
                  </pic:blipFill>
                  <pic:spPr>
                    <a:xfrm>
                      <a:off x="0" y="0"/>
                      <a:ext cx="7780574" cy="10747851"/>
                    </a:xfrm>
                    <a:prstGeom prst="rect">
                      <a:avLst/>
                    </a:prstGeom>
                  </pic:spPr>
                </pic:pic>
              </a:graphicData>
            </a:graphic>
            <wp14:sizeRelH relativeFrom="page">
              <wp14:pctWidth>0</wp14:pctWidth>
            </wp14:sizeRelH>
            <wp14:sizeRelV relativeFrom="page">
              <wp14:pctHeight>0</wp14:pctHeight>
            </wp14:sizeRelV>
          </wp:anchor>
        </w:drawing>
      </w:r>
    </w:p>
    <w:sectPr w:rsidR="0066429B" w:rsidRPr="00F716A6" w:rsidSect="00F716A6">
      <w:pgSz w:w="11910" w:h="16840" w:code="9"/>
      <w:pgMar w:top="170" w:right="227" w:bottom="227" w:left="17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72D7" w16cex:dateUtc="2021-06-10T01:15:00Z"/>
  <w16cex:commentExtensible w16cex:durableId="24895DA4" w16cex:dateUtc="2021-07-01T23:40:00Z"/>
  <w16cex:commentExtensible w16cex:durableId="24843A1F" w16cex:dateUtc="2021-06-28T02:07:00Z"/>
  <w16cex:commentExtensible w16cex:durableId="248438D1" w16cex:dateUtc="2021-06-28T02:02:00Z"/>
  <w16cex:commentExtensible w16cex:durableId="247D94AE" w16cex:dateUtc="2021-06-23T01:08:00Z"/>
  <w16cex:commentExtensible w16cex:durableId="247CAE3C" w16cex:dateUtc="2021-06-22T08:45:00Z"/>
  <w16cex:commentExtensible w16cex:durableId="24774A54" w16cex:dateUtc="2021-06-18T06:37:00Z"/>
  <w16cex:commentExtensible w16cex:durableId="246C7642" w16cex:dateUtc="2021-06-10T01:30:00Z"/>
  <w16cex:commentExtensible w16cex:durableId="246C77F2" w16cex:dateUtc="2021-06-10T01:37:00Z"/>
  <w16cex:commentExtensible w16cex:durableId="24809130" w16cex:dateUtc="2021-06-25T07:30:00Z"/>
  <w16cex:commentExtensible w16cex:durableId="24895F66" w16cex:dateUtc="2021-07-01T23:48:00Z"/>
  <w16cex:commentExtensible w16cex:durableId="247D96B4" w16cex:dateUtc="2021-06-23T01:17:00Z"/>
  <w16cex:commentExtensible w16cex:durableId="24895FA8" w16cex:dateUtc="2021-07-01T23:49:00Z"/>
  <w16cex:commentExtensible w16cex:durableId="246C80D1" w16cex:dateUtc="2021-06-10T02:15:00Z"/>
  <w16cex:commentExtensible w16cex:durableId="247D983C" w16cex:dateUtc="2021-06-23T01:23:00Z"/>
  <w16cex:commentExtensible w16cex:durableId="2489607C" w16cex:dateUtc="2021-07-01T23:53:00Z"/>
  <w16cex:commentExtensible w16cex:durableId="247B5177" w16cex:dateUtc="2021-06-21T07:57:00Z"/>
  <w16cex:commentExtensible w16cex:durableId="247DB0F8" w16cex:dateUtc="2021-06-23T03:09:00Z"/>
  <w16cex:commentExtensible w16cex:durableId="247DB188" w16cex:dateUtc="2021-06-23T03:11:00Z"/>
  <w16cex:commentExtensible w16cex:durableId="247B54B8" w16cex:dateUtc="2021-06-21T08:11:00Z"/>
  <w16cex:commentExtensible w16cex:durableId="247B55F7" w16cex:dateUtc="2021-06-21T08:16:00Z"/>
  <w16cex:commentExtensible w16cex:durableId="248962EC" w16cex:dateUtc="2021-07-02T00:03:00Z"/>
  <w16cex:commentExtensible w16cex:durableId="24772A50" w16cex:dateUtc="2021-06-18T04:21:00Z"/>
  <w16cex:commentExtensible w16cex:durableId="24772AB6" w16cex:dateUtc="2021-06-18T04:22:00Z"/>
  <w16cex:commentExtensible w16cex:durableId="2489ACD3" w16cex:dateUtc="2021-07-02T05:18:00Z"/>
  <w16cex:commentExtensible w16cex:durableId="247737E4" w16cex:dateUtc="2021-06-18T05:19:00Z"/>
  <w16cex:commentExtensible w16cex:durableId="248965FD" w16cex:dateUtc="2021-07-02T00:16:00Z"/>
  <w16cex:commentExtensible w16cex:durableId="24896AAD" w16cex:dateUtc="2021-07-02T00:36:00Z"/>
  <w16cex:commentExtensible w16cex:durableId="247DC237" w16cex:dateUtc="2021-06-23T04:22:00Z"/>
  <w16cex:commentExtensible w16cex:durableId="24886688" w16cex:dateUtc="2021-07-01T06:06:00Z"/>
  <w16cex:commentExtensible w16cex:durableId="2485D996" w16cex:dateUtc="2021-06-29T07:40:00Z"/>
  <w16cex:commentExtensible w16cex:durableId="247DDB2C" w16cex:dateUtc="2021-06-23T06:09:00Z"/>
  <w16cex:commentExtensible w16cex:durableId="247DDF74" w16cex:dateUtc="2021-06-23T06:27:00Z"/>
  <w16cex:commentExtensible w16cex:durableId="2475AEB5" w16cex:dateUtc="2021-06-17T01:21:00Z"/>
  <w16cex:commentExtensible w16cex:durableId="2474ABD8" w16cex:dateUtc="2021-06-16T06:56:00Z"/>
  <w16cex:commentExtensible w16cex:durableId="247F0FCE" w16cex:dateUtc="2021-06-24T04:06:00Z"/>
  <w16cex:commentExtensible w16cex:durableId="247F0945" w16cex:dateUtc="2021-06-24T03: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CB03B" w14:textId="77777777" w:rsidR="0082346F" w:rsidRDefault="0082346F">
      <w:pPr>
        <w:spacing w:after="0"/>
      </w:pPr>
      <w:r>
        <w:separator/>
      </w:r>
    </w:p>
  </w:endnote>
  <w:endnote w:type="continuationSeparator" w:id="0">
    <w:p w14:paraId="501169B3" w14:textId="77777777" w:rsidR="0082346F" w:rsidRDefault="008234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tis Sans Serif Std Light">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panose1 w:val="020B0604020101020102"/>
    <w:charset w:val="00"/>
    <w:family w:val="swiss"/>
    <w:notTrueType/>
    <w:pitch w:val="variable"/>
    <w:sig w:usb0="8000002F" w:usb1="5000E47B" w:usb2="00000008"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D0AF9" w14:textId="4E1002F0" w:rsidR="003A2D10" w:rsidRPr="007A7AC3" w:rsidRDefault="003A2D10" w:rsidP="00E969B9">
    <w:pPr>
      <w:pStyle w:val="Footer"/>
      <w:jc w:val="center"/>
      <w:rPr>
        <w:rFonts w:cstheme="minorHAnsi"/>
      </w:rPr>
    </w:pPr>
    <w:r w:rsidRPr="00E969B9">
      <w:rPr>
        <w:rFonts w:cstheme="minorHAnsi"/>
        <w:noProof/>
        <w:color w:val="7F7F7F" w:themeColor="background1" w:themeShade="7F"/>
        <w:spacing w:val="60"/>
      </w:rPr>
      <w:t>Page</w:t>
    </w:r>
    <w:r w:rsidRPr="00E969B9">
      <w:rPr>
        <w:rFonts w:cstheme="minorHAnsi"/>
        <w:noProof/>
      </w:rPr>
      <w:t xml:space="preserve"> | </w:t>
    </w:r>
    <w:r w:rsidRPr="00E969B9">
      <w:rPr>
        <w:rFonts w:cstheme="minorHAnsi"/>
        <w:noProof/>
      </w:rPr>
      <w:fldChar w:fldCharType="begin"/>
    </w:r>
    <w:r w:rsidRPr="00E969B9">
      <w:rPr>
        <w:rFonts w:cstheme="minorHAnsi"/>
        <w:noProof/>
      </w:rPr>
      <w:instrText xml:space="preserve"> PAGE   \* MERGEFORMAT </w:instrText>
    </w:r>
    <w:r w:rsidRPr="00E969B9">
      <w:rPr>
        <w:rFonts w:cstheme="minorHAnsi"/>
        <w:noProof/>
      </w:rPr>
      <w:fldChar w:fldCharType="separate"/>
    </w:r>
    <w:r w:rsidRPr="00E969B9">
      <w:rPr>
        <w:rFonts w:cstheme="minorHAnsi"/>
        <w:b/>
        <w:bCs/>
        <w:noProof/>
      </w:rPr>
      <w:t>1</w:t>
    </w:r>
    <w:r w:rsidRPr="00E969B9">
      <w:rPr>
        <w:rFonts w:cstheme="minorHAnsi"/>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F9196" w14:textId="77777777" w:rsidR="0082346F" w:rsidRDefault="0082346F">
      <w:r>
        <w:separator/>
      </w:r>
    </w:p>
  </w:footnote>
  <w:footnote w:type="continuationSeparator" w:id="0">
    <w:p w14:paraId="0D063D75" w14:textId="77777777" w:rsidR="0082346F" w:rsidRDefault="0082346F">
      <w:r>
        <w:continuationSeparator/>
      </w:r>
    </w:p>
  </w:footnote>
  <w:footnote w:id="1">
    <w:p w14:paraId="783E7007" w14:textId="25BD9F61" w:rsidR="003A2D10" w:rsidRDefault="003A2D10">
      <w:pPr>
        <w:pStyle w:val="FootnoteText"/>
      </w:pPr>
      <w:r>
        <w:rPr>
          <w:rStyle w:val="FootnoteReference"/>
        </w:rPr>
        <w:footnoteRef/>
      </w:r>
      <w:r>
        <w:t xml:space="preserve">  Essendon Fields does not have a residential population as is commonwealth land therefore Moonee Valley has no jurisdiction over what happens in this location.</w:t>
      </w:r>
    </w:p>
  </w:footnote>
  <w:footnote w:id="2">
    <w:p w14:paraId="0CC4897F" w14:textId="77777777" w:rsidR="003A2D10" w:rsidRDefault="003A2D10" w:rsidP="00435181">
      <w:pPr>
        <w:pStyle w:val="FootnoteText"/>
      </w:pPr>
      <w:r>
        <w:rPr>
          <w:rStyle w:val="FootnoteReference"/>
        </w:rPr>
        <w:footnoteRef/>
      </w:r>
      <w:r>
        <w:t xml:space="preserve">  This figure for international students is based on ‘non-citizen’ students from the 2016 Census, and therefore may include other types of visa holders, such as permanent residents in addition to those on a specific student visa.</w:t>
      </w:r>
    </w:p>
    <w:p w14:paraId="6ADB92AB" w14:textId="77777777" w:rsidR="003A2D10" w:rsidRDefault="003A2D10">
      <w:pPr>
        <w:pStyle w:val="FootnoteText"/>
      </w:pPr>
    </w:p>
  </w:footnote>
  <w:footnote w:id="3">
    <w:p w14:paraId="43A258C5" w14:textId="3AC243A5" w:rsidR="003A2D10" w:rsidRDefault="003A2D10">
      <w:pPr>
        <w:pStyle w:val="FootnoteText"/>
      </w:pPr>
      <w:r>
        <w:rPr>
          <w:rStyle w:val="FootnoteReference"/>
        </w:rPr>
        <w:footnoteRef/>
      </w:r>
      <w:r>
        <w:t xml:space="preserve">  source </w:t>
      </w:r>
      <w:r w:rsidRPr="00316A9F">
        <w:t>https://willingness.com.mt/health-behaviour-and-health-promotion-part-1-2/</w:t>
      </w:r>
    </w:p>
  </w:footnote>
  <w:footnote w:id="4">
    <w:p w14:paraId="2DEFE0F8" w14:textId="77777777" w:rsidR="003A2D10" w:rsidRPr="001A6276" w:rsidRDefault="003A2D10" w:rsidP="00C81826">
      <w:r>
        <w:rPr>
          <w:rStyle w:val="FootnoteReference"/>
        </w:rPr>
        <w:footnoteRef/>
      </w:r>
      <w:r>
        <w:t xml:space="preserve"> </w:t>
      </w:r>
      <w:r w:rsidRPr="00C81826">
        <w:rPr>
          <w:sz w:val="20"/>
          <w:szCs w:val="20"/>
        </w:rPr>
        <w:t>The urban heat island (UHI) measure was derived from land surface temperature (LST) data based on Landsat 8 thermal infrared data collected by the United States Geological Survey (USGS).</w:t>
      </w:r>
    </w:p>
    <w:p w14:paraId="04F644BB" w14:textId="755A8D69" w:rsidR="003A2D10" w:rsidRDefault="003A2D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0DC4" w14:textId="195CEB0D" w:rsidR="003A2D10" w:rsidRPr="005C75D6" w:rsidRDefault="003A2D10" w:rsidP="00CD2D66">
    <w:pPr>
      <w:pStyle w:val="Header"/>
      <w:ind w:right="360" w:firstLine="360"/>
      <w:rPr>
        <w:rFonts w:cs="Circular Std Book"/>
      </w:rPr>
    </w:pPr>
    <w:r>
      <w:rPr>
        <w:rFonts w:cs="Circular Std Book"/>
      </w:rPr>
      <w:t>Moonee Valley City Council</w:t>
    </w:r>
    <w:r w:rsidRPr="005C75D6">
      <w:rPr>
        <w:rFonts w:cs="Circular Std Book"/>
      </w:rPr>
      <w:ptab w:relativeTo="margin" w:alignment="center" w:leader="none"/>
    </w:r>
    <w:r w:rsidRPr="005C75D6">
      <w:rPr>
        <w:rFonts w:cs="Circular Std Book"/>
      </w:rPr>
      <w:ptab w:relativeTo="margin" w:alignment="right" w:leader="none"/>
    </w:r>
    <w:r>
      <w:rPr>
        <w:rFonts w:cs="Circular Std Book"/>
      </w:rPr>
      <w:t>Health and Wellbeing Profile, 2021</w:t>
    </w:r>
  </w:p>
  <w:p w14:paraId="238230E1" w14:textId="5F21E36F" w:rsidR="003A2D10" w:rsidRPr="00CD2D66" w:rsidRDefault="003A2D10" w:rsidP="00CD2D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FBCC3D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944482"/>
    <w:multiLevelType w:val="hybridMultilevel"/>
    <w:tmpl w:val="137A8D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EB29A2"/>
    <w:multiLevelType w:val="hybridMultilevel"/>
    <w:tmpl w:val="985EF6A4"/>
    <w:lvl w:ilvl="0" w:tplc="583212AC">
      <w:numFmt w:val="bullet"/>
      <w:lvlText w:val="-"/>
      <w:lvlJc w:val="left"/>
      <w:pPr>
        <w:ind w:left="1128" w:hanging="360"/>
      </w:pPr>
      <w:rPr>
        <w:rFonts w:ascii="Rotis Sans Serif Std Light" w:eastAsiaTheme="minorHAnsi" w:hAnsi="Rotis Sans Serif Std Light" w:cstheme="minorBidi"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3" w15:restartNumberingAfterBreak="0">
    <w:nsid w:val="03F33ACF"/>
    <w:multiLevelType w:val="hybridMultilevel"/>
    <w:tmpl w:val="A366F9C4"/>
    <w:lvl w:ilvl="0" w:tplc="9880EB46">
      <w:numFmt w:val="bullet"/>
      <w:lvlText w:val=""/>
      <w:lvlJc w:val="left"/>
      <w:pPr>
        <w:ind w:left="2153" w:hanging="356"/>
      </w:pPr>
      <w:rPr>
        <w:rFonts w:ascii="Symbol" w:eastAsia="Symbol" w:hAnsi="Symbol" w:cs="Symbol" w:hint="default"/>
        <w:w w:val="100"/>
        <w:sz w:val="24"/>
        <w:szCs w:val="24"/>
      </w:rPr>
    </w:lvl>
    <w:lvl w:ilvl="1" w:tplc="85CC78E0">
      <w:numFmt w:val="bullet"/>
      <w:lvlText w:val="•"/>
      <w:lvlJc w:val="left"/>
      <w:pPr>
        <w:ind w:left="3134" w:hanging="356"/>
      </w:pPr>
      <w:rPr>
        <w:rFonts w:hint="default"/>
      </w:rPr>
    </w:lvl>
    <w:lvl w:ilvl="2" w:tplc="9920E3B0">
      <w:numFmt w:val="bullet"/>
      <w:lvlText w:val="•"/>
      <w:lvlJc w:val="left"/>
      <w:pPr>
        <w:ind w:left="4109" w:hanging="356"/>
      </w:pPr>
      <w:rPr>
        <w:rFonts w:hint="default"/>
      </w:rPr>
    </w:lvl>
    <w:lvl w:ilvl="3" w:tplc="9DCE5D56">
      <w:numFmt w:val="bullet"/>
      <w:lvlText w:val="•"/>
      <w:lvlJc w:val="left"/>
      <w:pPr>
        <w:ind w:left="5083" w:hanging="356"/>
      </w:pPr>
      <w:rPr>
        <w:rFonts w:hint="default"/>
      </w:rPr>
    </w:lvl>
    <w:lvl w:ilvl="4" w:tplc="FE9A050C">
      <w:numFmt w:val="bullet"/>
      <w:lvlText w:val="•"/>
      <w:lvlJc w:val="left"/>
      <w:pPr>
        <w:ind w:left="6058" w:hanging="356"/>
      </w:pPr>
      <w:rPr>
        <w:rFonts w:hint="default"/>
      </w:rPr>
    </w:lvl>
    <w:lvl w:ilvl="5" w:tplc="07B05564">
      <w:numFmt w:val="bullet"/>
      <w:lvlText w:val="•"/>
      <w:lvlJc w:val="left"/>
      <w:pPr>
        <w:ind w:left="7033" w:hanging="356"/>
      </w:pPr>
      <w:rPr>
        <w:rFonts w:hint="default"/>
      </w:rPr>
    </w:lvl>
    <w:lvl w:ilvl="6" w:tplc="329C0C14">
      <w:numFmt w:val="bullet"/>
      <w:lvlText w:val="•"/>
      <w:lvlJc w:val="left"/>
      <w:pPr>
        <w:ind w:left="8007" w:hanging="356"/>
      </w:pPr>
      <w:rPr>
        <w:rFonts w:hint="default"/>
      </w:rPr>
    </w:lvl>
    <w:lvl w:ilvl="7" w:tplc="C9EAA50C">
      <w:numFmt w:val="bullet"/>
      <w:lvlText w:val="•"/>
      <w:lvlJc w:val="left"/>
      <w:pPr>
        <w:ind w:left="8982" w:hanging="356"/>
      </w:pPr>
      <w:rPr>
        <w:rFonts w:hint="default"/>
      </w:rPr>
    </w:lvl>
    <w:lvl w:ilvl="8" w:tplc="606EFB04">
      <w:numFmt w:val="bullet"/>
      <w:lvlText w:val="•"/>
      <w:lvlJc w:val="left"/>
      <w:pPr>
        <w:ind w:left="9957" w:hanging="356"/>
      </w:pPr>
      <w:rPr>
        <w:rFonts w:hint="default"/>
      </w:rPr>
    </w:lvl>
  </w:abstractNum>
  <w:abstractNum w:abstractNumId="4" w15:restartNumberingAfterBreak="0">
    <w:nsid w:val="06DE12CD"/>
    <w:multiLevelType w:val="hybridMultilevel"/>
    <w:tmpl w:val="026C6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D2E13"/>
    <w:multiLevelType w:val="hybridMultilevel"/>
    <w:tmpl w:val="7F6A8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7E298C"/>
    <w:multiLevelType w:val="hybridMultilevel"/>
    <w:tmpl w:val="3AE61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85BC7"/>
    <w:multiLevelType w:val="hybridMultilevel"/>
    <w:tmpl w:val="1FAEB258"/>
    <w:lvl w:ilvl="0" w:tplc="5E707370">
      <w:start w:val="21"/>
      <w:numFmt w:val="bullet"/>
      <w:lvlText w:val="-"/>
      <w:lvlJc w:val="left"/>
      <w:pPr>
        <w:ind w:left="1080" w:hanging="360"/>
      </w:pPr>
      <w:rPr>
        <w:rFonts w:ascii="Rotis Sans Serif Std Light" w:eastAsiaTheme="minorHAnsi" w:hAnsi="Rotis Sans Serif Std Ligh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F261A61"/>
    <w:multiLevelType w:val="hybridMultilevel"/>
    <w:tmpl w:val="0C28A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111194"/>
    <w:multiLevelType w:val="hybridMultilevel"/>
    <w:tmpl w:val="95A69008"/>
    <w:lvl w:ilvl="0" w:tplc="6A246950">
      <w:numFmt w:val="bullet"/>
      <w:lvlText w:val="-"/>
      <w:lvlJc w:val="left"/>
      <w:pPr>
        <w:ind w:left="768" w:hanging="360"/>
      </w:pPr>
      <w:rPr>
        <w:rFonts w:ascii="Calibri" w:eastAsiaTheme="minorHAnsi" w:hAnsi="Calibri" w:cs="Calibri"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261B21E7"/>
    <w:multiLevelType w:val="hybridMultilevel"/>
    <w:tmpl w:val="B05C2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9C6447"/>
    <w:multiLevelType w:val="hybridMultilevel"/>
    <w:tmpl w:val="1564DFD8"/>
    <w:lvl w:ilvl="0" w:tplc="00AADEE8">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9F4FA7"/>
    <w:multiLevelType w:val="hybridMultilevel"/>
    <w:tmpl w:val="0C68476A"/>
    <w:lvl w:ilvl="0" w:tplc="FFAE73B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B761DB"/>
    <w:multiLevelType w:val="hybridMultilevel"/>
    <w:tmpl w:val="9BC8BAE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968ED"/>
    <w:multiLevelType w:val="hybridMultilevel"/>
    <w:tmpl w:val="2A5A2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E7671E"/>
    <w:multiLevelType w:val="hybridMultilevel"/>
    <w:tmpl w:val="519647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306852B6"/>
    <w:multiLevelType w:val="hybridMultilevel"/>
    <w:tmpl w:val="C0AE5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737B2A"/>
    <w:multiLevelType w:val="hybridMultilevel"/>
    <w:tmpl w:val="7E3AFCB8"/>
    <w:lvl w:ilvl="0" w:tplc="6A246950">
      <w:numFmt w:val="bullet"/>
      <w:lvlText w:val="-"/>
      <w:lvlJc w:val="left"/>
      <w:pPr>
        <w:ind w:left="76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8F4750"/>
    <w:multiLevelType w:val="hybridMultilevel"/>
    <w:tmpl w:val="2C5EA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9061DE"/>
    <w:multiLevelType w:val="hybridMultilevel"/>
    <w:tmpl w:val="A60C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4D1EEC"/>
    <w:multiLevelType w:val="hybridMultilevel"/>
    <w:tmpl w:val="46B047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A6926EC"/>
    <w:multiLevelType w:val="hybridMultilevel"/>
    <w:tmpl w:val="DFF44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196E11"/>
    <w:multiLevelType w:val="hybridMultilevel"/>
    <w:tmpl w:val="99945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064728"/>
    <w:multiLevelType w:val="hybridMultilevel"/>
    <w:tmpl w:val="005C2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323D9A"/>
    <w:multiLevelType w:val="hybridMultilevel"/>
    <w:tmpl w:val="08365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9D6DD9"/>
    <w:multiLevelType w:val="hybridMultilevel"/>
    <w:tmpl w:val="F2CAC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D1F35"/>
    <w:multiLevelType w:val="hybridMultilevel"/>
    <w:tmpl w:val="15FC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986D7A"/>
    <w:multiLevelType w:val="hybridMultilevel"/>
    <w:tmpl w:val="832EE4F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68682540"/>
    <w:multiLevelType w:val="hybridMultilevel"/>
    <w:tmpl w:val="7F02F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DB573D"/>
    <w:multiLevelType w:val="hybridMultilevel"/>
    <w:tmpl w:val="0AC6C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852401"/>
    <w:multiLevelType w:val="hybridMultilevel"/>
    <w:tmpl w:val="F104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E42F15"/>
    <w:multiLevelType w:val="multilevel"/>
    <w:tmpl w:val="FEA8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7C2B23"/>
    <w:multiLevelType w:val="hybridMultilevel"/>
    <w:tmpl w:val="2D84A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DE1327"/>
    <w:multiLevelType w:val="hybridMultilevel"/>
    <w:tmpl w:val="F61E7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A24DFE"/>
    <w:multiLevelType w:val="hybridMultilevel"/>
    <w:tmpl w:val="A5E6D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E44D6E"/>
    <w:multiLevelType w:val="hybridMultilevel"/>
    <w:tmpl w:val="710C5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F813C4"/>
    <w:multiLevelType w:val="hybridMultilevel"/>
    <w:tmpl w:val="EE36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15"/>
  </w:num>
  <w:num w:numId="5">
    <w:abstractNumId w:val="31"/>
  </w:num>
  <w:num w:numId="6">
    <w:abstractNumId w:val="21"/>
  </w:num>
  <w:num w:numId="7">
    <w:abstractNumId w:val="34"/>
  </w:num>
  <w:num w:numId="8">
    <w:abstractNumId w:val="30"/>
  </w:num>
  <w:num w:numId="9">
    <w:abstractNumId w:val="19"/>
  </w:num>
  <w:num w:numId="10">
    <w:abstractNumId w:val="24"/>
  </w:num>
  <w:num w:numId="11">
    <w:abstractNumId w:val="23"/>
  </w:num>
  <w:num w:numId="12">
    <w:abstractNumId w:val="10"/>
  </w:num>
  <w:num w:numId="13">
    <w:abstractNumId w:val="18"/>
  </w:num>
  <w:num w:numId="14">
    <w:abstractNumId w:val="14"/>
  </w:num>
  <w:num w:numId="15">
    <w:abstractNumId w:val="26"/>
  </w:num>
  <w:num w:numId="16">
    <w:abstractNumId w:val="22"/>
  </w:num>
  <w:num w:numId="17">
    <w:abstractNumId w:val="5"/>
  </w:num>
  <w:num w:numId="18">
    <w:abstractNumId w:val="32"/>
  </w:num>
  <w:num w:numId="19">
    <w:abstractNumId w:val="7"/>
  </w:num>
  <w:num w:numId="20">
    <w:abstractNumId w:val="1"/>
  </w:num>
  <w:num w:numId="21">
    <w:abstractNumId w:val="0"/>
  </w:num>
  <w:num w:numId="22">
    <w:abstractNumId w:val="9"/>
  </w:num>
  <w:num w:numId="23">
    <w:abstractNumId w:val="17"/>
  </w:num>
  <w:num w:numId="24">
    <w:abstractNumId w:val="13"/>
  </w:num>
  <w:num w:numId="25">
    <w:abstractNumId w:val="35"/>
  </w:num>
  <w:num w:numId="26">
    <w:abstractNumId w:val="33"/>
  </w:num>
  <w:num w:numId="27">
    <w:abstractNumId w:val="2"/>
  </w:num>
  <w:num w:numId="28">
    <w:abstractNumId w:val="28"/>
  </w:num>
  <w:num w:numId="29">
    <w:abstractNumId w:val="36"/>
  </w:num>
  <w:num w:numId="30">
    <w:abstractNumId w:val="27"/>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16"/>
  </w:num>
  <w:num w:numId="34">
    <w:abstractNumId w:val="25"/>
  </w:num>
  <w:num w:numId="35">
    <w:abstractNumId w:val="8"/>
  </w:num>
  <w:num w:numId="36">
    <w:abstractNumId w:val="12"/>
  </w:num>
  <w:num w:numId="37">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0044D"/>
    <w:rsid w:val="00002AD7"/>
    <w:rsid w:val="0000364C"/>
    <w:rsid w:val="000043B9"/>
    <w:rsid w:val="000052A8"/>
    <w:rsid w:val="0000643C"/>
    <w:rsid w:val="0001044B"/>
    <w:rsid w:val="00011C8B"/>
    <w:rsid w:val="00013D9B"/>
    <w:rsid w:val="00017B90"/>
    <w:rsid w:val="000210B9"/>
    <w:rsid w:val="000214CD"/>
    <w:rsid w:val="0002199B"/>
    <w:rsid w:val="000233C8"/>
    <w:rsid w:val="00026335"/>
    <w:rsid w:val="000300C0"/>
    <w:rsid w:val="0003084E"/>
    <w:rsid w:val="000340D6"/>
    <w:rsid w:val="00035381"/>
    <w:rsid w:val="000369B0"/>
    <w:rsid w:val="0004025B"/>
    <w:rsid w:val="0004107A"/>
    <w:rsid w:val="00041E7C"/>
    <w:rsid w:val="00042CAF"/>
    <w:rsid w:val="00047FDF"/>
    <w:rsid w:val="000550A7"/>
    <w:rsid w:val="00055954"/>
    <w:rsid w:val="00055C9B"/>
    <w:rsid w:val="000639AA"/>
    <w:rsid w:val="00063CCC"/>
    <w:rsid w:val="000649F2"/>
    <w:rsid w:val="00066453"/>
    <w:rsid w:val="000666C6"/>
    <w:rsid w:val="0006745A"/>
    <w:rsid w:val="00067B97"/>
    <w:rsid w:val="000719AC"/>
    <w:rsid w:val="00074A0A"/>
    <w:rsid w:val="000808AE"/>
    <w:rsid w:val="00080F25"/>
    <w:rsid w:val="00081DCC"/>
    <w:rsid w:val="00081E02"/>
    <w:rsid w:val="00083670"/>
    <w:rsid w:val="00085ABA"/>
    <w:rsid w:val="00087B34"/>
    <w:rsid w:val="000900EB"/>
    <w:rsid w:val="000905B9"/>
    <w:rsid w:val="00091F31"/>
    <w:rsid w:val="00092154"/>
    <w:rsid w:val="000933AF"/>
    <w:rsid w:val="00094861"/>
    <w:rsid w:val="00095305"/>
    <w:rsid w:val="00095424"/>
    <w:rsid w:val="00096FF2"/>
    <w:rsid w:val="0009749A"/>
    <w:rsid w:val="00097B87"/>
    <w:rsid w:val="000A2135"/>
    <w:rsid w:val="000A4C22"/>
    <w:rsid w:val="000A7F4B"/>
    <w:rsid w:val="000A7FF6"/>
    <w:rsid w:val="000B12CA"/>
    <w:rsid w:val="000B1B14"/>
    <w:rsid w:val="000B3E9D"/>
    <w:rsid w:val="000B420D"/>
    <w:rsid w:val="000B55BC"/>
    <w:rsid w:val="000B61A2"/>
    <w:rsid w:val="000C0D0D"/>
    <w:rsid w:val="000C3856"/>
    <w:rsid w:val="000C3B3E"/>
    <w:rsid w:val="000C3DB8"/>
    <w:rsid w:val="000D0D0B"/>
    <w:rsid w:val="000D1339"/>
    <w:rsid w:val="000D465C"/>
    <w:rsid w:val="000D57FA"/>
    <w:rsid w:val="000D66A9"/>
    <w:rsid w:val="000D66DE"/>
    <w:rsid w:val="000E1E6C"/>
    <w:rsid w:val="000E3407"/>
    <w:rsid w:val="000E364B"/>
    <w:rsid w:val="000E431C"/>
    <w:rsid w:val="000E776E"/>
    <w:rsid w:val="000E7A4C"/>
    <w:rsid w:val="000F107E"/>
    <w:rsid w:val="000F1D89"/>
    <w:rsid w:val="000F3B07"/>
    <w:rsid w:val="000F4E8D"/>
    <w:rsid w:val="000F53BC"/>
    <w:rsid w:val="000F7117"/>
    <w:rsid w:val="000F7917"/>
    <w:rsid w:val="0010392D"/>
    <w:rsid w:val="00103BCD"/>
    <w:rsid w:val="001061E6"/>
    <w:rsid w:val="0010652B"/>
    <w:rsid w:val="0011134F"/>
    <w:rsid w:val="00116EE0"/>
    <w:rsid w:val="00116EEC"/>
    <w:rsid w:val="00117219"/>
    <w:rsid w:val="00117952"/>
    <w:rsid w:val="001239B3"/>
    <w:rsid w:val="00124BF0"/>
    <w:rsid w:val="00126AB8"/>
    <w:rsid w:val="00126F74"/>
    <w:rsid w:val="001300E8"/>
    <w:rsid w:val="001309CC"/>
    <w:rsid w:val="00130C71"/>
    <w:rsid w:val="00131567"/>
    <w:rsid w:val="001326D2"/>
    <w:rsid w:val="00133A8A"/>
    <w:rsid w:val="00134977"/>
    <w:rsid w:val="00134A6A"/>
    <w:rsid w:val="00136651"/>
    <w:rsid w:val="0014147F"/>
    <w:rsid w:val="00144C2E"/>
    <w:rsid w:val="0015032B"/>
    <w:rsid w:val="001523AB"/>
    <w:rsid w:val="001530BA"/>
    <w:rsid w:val="001551BF"/>
    <w:rsid w:val="001562D6"/>
    <w:rsid w:val="00156D99"/>
    <w:rsid w:val="001601E9"/>
    <w:rsid w:val="00161E82"/>
    <w:rsid w:val="00162E62"/>
    <w:rsid w:val="00164281"/>
    <w:rsid w:val="001671CC"/>
    <w:rsid w:val="0017108F"/>
    <w:rsid w:val="00172554"/>
    <w:rsid w:val="0017290D"/>
    <w:rsid w:val="00172FFF"/>
    <w:rsid w:val="0017548B"/>
    <w:rsid w:val="00176B05"/>
    <w:rsid w:val="0017780D"/>
    <w:rsid w:val="00180A7B"/>
    <w:rsid w:val="00180E9C"/>
    <w:rsid w:val="00182661"/>
    <w:rsid w:val="00184DCE"/>
    <w:rsid w:val="00186735"/>
    <w:rsid w:val="00192EEF"/>
    <w:rsid w:val="00194C02"/>
    <w:rsid w:val="001A0EEC"/>
    <w:rsid w:val="001A1B67"/>
    <w:rsid w:val="001A2017"/>
    <w:rsid w:val="001A204A"/>
    <w:rsid w:val="001A32FE"/>
    <w:rsid w:val="001A4644"/>
    <w:rsid w:val="001A52C3"/>
    <w:rsid w:val="001A5908"/>
    <w:rsid w:val="001A642E"/>
    <w:rsid w:val="001A7EC4"/>
    <w:rsid w:val="001B10B9"/>
    <w:rsid w:val="001B1791"/>
    <w:rsid w:val="001B1BB2"/>
    <w:rsid w:val="001B1FE9"/>
    <w:rsid w:val="001B4809"/>
    <w:rsid w:val="001B4AC2"/>
    <w:rsid w:val="001B4FBB"/>
    <w:rsid w:val="001B6812"/>
    <w:rsid w:val="001B7A30"/>
    <w:rsid w:val="001C29ED"/>
    <w:rsid w:val="001C5CA1"/>
    <w:rsid w:val="001C6D8F"/>
    <w:rsid w:val="001C75EE"/>
    <w:rsid w:val="001D099F"/>
    <w:rsid w:val="001D0DF6"/>
    <w:rsid w:val="001D12A1"/>
    <w:rsid w:val="001D2F26"/>
    <w:rsid w:val="001D366F"/>
    <w:rsid w:val="001D44F0"/>
    <w:rsid w:val="001D67CA"/>
    <w:rsid w:val="001D7464"/>
    <w:rsid w:val="001D7DA6"/>
    <w:rsid w:val="001E13D2"/>
    <w:rsid w:val="001E1DF4"/>
    <w:rsid w:val="001E3A89"/>
    <w:rsid w:val="001E5B1E"/>
    <w:rsid w:val="001F1E87"/>
    <w:rsid w:val="001F4363"/>
    <w:rsid w:val="001F535A"/>
    <w:rsid w:val="001F6383"/>
    <w:rsid w:val="001F6630"/>
    <w:rsid w:val="002037C4"/>
    <w:rsid w:val="00206DFC"/>
    <w:rsid w:val="002077B5"/>
    <w:rsid w:val="002145A7"/>
    <w:rsid w:val="00214810"/>
    <w:rsid w:val="00214B00"/>
    <w:rsid w:val="00215922"/>
    <w:rsid w:val="0022785E"/>
    <w:rsid w:val="00227A4B"/>
    <w:rsid w:val="00227B2E"/>
    <w:rsid w:val="00230140"/>
    <w:rsid w:val="0023048D"/>
    <w:rsid w:val="00233EF0"/>
    <w:rsid w:val="0023418B"/>
    <w:rsid w:val="00234212"/>
    <w:rsid w:val="00235A9F"/>
    <w:rsid w:val="00237F4B"/>
    <w:rsid w:val="00242375"/>
    <w:rsid w:val="00244981"/>
    <w:rsid w:val="00244C8C"/>
    <w:rsid w:val="0024795F"/>
    <w:rsid w:val="00247FA3"/>
    <w:rsid w:val="00251453"/>
    <w:rsid w:val="00251545"/>
    <w:rsid w:val="00253C43"/>
    <w:rsid w:val="00255372"/>
    <w:rsid w:val="00255C58"/>
    <w:rsid w:val="0025741B"/>
    <w:rsid w:val="00257697"/>
    <w:rsid w:val="002607B0"/>
    <w:rsid w:val="00260BAB"/>
    <w:rsid w:val="0026310B"/>
    <w:rsid w:val="00263A11"/>
    <w:rsid w:val="00266258"/>
    <w:rsid w:val="00271C6F"/>
    <w:rsid w:val="00273221"/>
    <w:rsid w:val="00273591"/>
    <w:rsid w:val="00273FD2"/>
    <w:rsid w:val="002764A4"/>
    <w:rsid w:val="00276CEB"/>
    <w:rsid w:val="002808B8"/>
    <w:rsid w:val="00280ECA"/>
    <w:rsid w:val="00282FD4"/>
    <w:rsid w:val="002838E4"/>
    <w:rsid w:val="00283EAE"/>
    <w:rsid w:val="00285554"/>
    <w:rsid w:val="00285EF6"/>
    <w:rsid w:val="0029000B"/>
    <w:rsid w:val="002903B3"/>
    <w:rsid w:val="002903BD"/>
    <w:rsid w:val="0029381A"/>
    <w:rsid w:val="002944F1"/>
    <w:rsid w:val="002946A9"/>
    <w:rsid w:val="002A0879"/>
    <w:rsid w:val="002A14E5"/>
    <w:rsid w:val="002A464B"/>
    <w:rsid w:val="002A5346"/>
    <w:rsid w:val="002A53F6"/>
    <w:rsid w:val="002A6A0C"/>
    <w:rsid w:val="002A6AB7"/>
    <w:rsid w:val="002B4B0A"/>
    <w:rsid w:val="002B6129"/>
    <w:rsid w:val="002B648A"/>
    <w:rsid w:val="002C5883"/>
    <w:rsid w:val="002D0481"/>
    <w:rsid w:val="002D250A"/>
    <w:rsid w:val="002D5865"/>
    <w:rsid w:val="002E1986"/>
    <w:rsid w:val="002E2138"/>
    <w:rsid w:val="002E4D30"/>
    <w:rsid w:val="002F49AC"/>
    <w:rsid w:val="002F668B"/>
    <w:rsid w:val="002F6935"/>
    <w:rsid w:val="002F6990"/>
    <w:rsid w:val="00303F54"/>
    <w:rsid w:val="003101FD"/>
    <w:rsid w:val="00312718"/>
    <w:rsid w:val="00316A9F"/>
    <w:rsid w:val="003171A9"/>
    <w:rsid w:val="00320615"/>
    <w:rsid w:val="0032105A"/>
    <w:rsid w:val="003215EB"/>
    <w:rsid w:val="00322B30"/>
    <w:rsid w:val="003331B5"/>
    <w:rsid w:val="003374C1"/>
    <w:rsid w:val="0034139D"/>
    <w:rsid w:val="00343912"/>
    <w:rsid w:val="003439D0"/>
    <w:rsid w:val="003475EB"/>
    <w:rsid w:val="00354539"/>
    <w:rsid w:val="00357DB9"/>
    <w:rsid w:val="0036408A"/>
    <w:rsid w:val="00364B32"/>
    <w:rsid w:val="00367809"/>
    <w:rsid w:val="003714D8"/>
    <w:rsid w:val="00373EA4"/>
    <w:rsid w:val="003743E3"/>
    <w:rsid w:val="0037548E"/>
    <w:rsid w:val="00376122"/>
    <w:rsid w:val="00377190"/>
    <w:rsid w:val="0037751B"/>
    <w:rsid w:val="00381D9F"/>
    <w:rsid w:val="00382BDD"/>
    <w:rsid w:val="0039016A"/>
    <w:rsid w:val="003910F6"/>
    <w:rsid w:val="0039206F"/>
    <w:rsid w:val="00392955"/>
    <w:rsid w:val="003929D8"/>
    <w:rsid w:val="00392ABB"/>
    <w:rsid w:val="0039503D"/>
    <w:rsid w:val="00395CA5"/>
    <w:rsid w:val="0039789A"/>
    <w:rsid w:val="003A075D"/>
    <w:rsid w:val="003A1616"/>
    <w:rsid w:val="003A22C4"/>
    <w:rsid w:val="003A2D10"/>
    <w:rsid w:val="003A31B3"/>
    <w:rsid w:val="003A5328"/>
    <w:rsid w:val="003A5D42"/>
    <w:rsid w:val="003B068E"/>
    <w:rsid w:val="003B111C"/>
    <w:rsid w:val="003B205D"/>
    <w:rsid w:val="003B4D08"/>
    <w:rsid w:val="003B686C"/>
    <w:rsid w:val="003C0039"/>
    <w:rsid w:val="003C03BE"/>
    <w:rsid w:val="003C13AA"/>
    <w:rsid w:val="003C2739"/>
    <w:rsid w:val="003C2753"/>
    <w:rsid w:val="003C37B4"/>
    <w:rsid w:val="003C5DBF"/>
    <w:rsid w:val="003C6658"/>
    <w:rsid w:val="003D00CC"/>
    <w:rsid w:val="003D1943"/>
    <w:rsid w:val="003D2C26"/>
    <w:rsid w:val="003D2CD8"/>
    <w:rsid w:val="003D30E7"/>
    <w:rsid w:val="003D3882"/>
    <w:rsid w:val="003D4587"/>
    <w:rsid w:val="003D4A1C"/>
    <w:rsid w:val="003E0416"/>
    <w:rsid w:val="003E085E"/>
    <w:rsid w:val="003E1EBF"/>
    <w:rsid w:val="003E2718"/>
    <w:rsid w:val="003E3586"/>
    <w:rsid w:val="003E5582"/>
    <w:rsid w:val="003F05CB"/>
    <w:rsid w:val="003F3CB8"/>
    <w:rsid w:val="003F3E59"/>
    <w:rsid w:val="003F3F61"/>
    <w:rsid w:val="003F4DCA"/>
    <w:rsid w:val="003F7E2D"/>
    <w:rsid w:val="00400ABF"/>
    <w:rsid w:val="004010D0"/>
    <w:rsid w:val="00401F79"/>
    <w:rsid w:val="004021F4"/>
    <w:rsid w:val="0040526D"/>
    <w:rsid w:val="004066F7"/>
    <w:rsid w:val="00406A07"/>
    <w:rsid w:val="00410C8B"/>
    <w:rsid w:val="00411B6C"/>
    <w:rsid w:val="00411BCD"/>
    <w:rsid w:val="00412D5A"/>
    <w:rsid w:val="00416D4D"/>
    <w:rsid w:val="00417F92"/>
    <w:rsid w:val="004230BA"/>
    <w:rsid w:val="004238DF"/>
    <w:rsid w:val="004243F5"/>
    <w:rsid w:val="00425345"/>
    <w:rsid w:val="00426111"/>
    <w:rsid w:val="00427D5C"/>
    <w:rsid w:val="00427EF3"/>
    <w:rsid w:val="00431163"/>
    <w:rsid w:val="004329C3"/>
    <w:rsid w:val="0043326A"/>
    <w:rsid w:val="00434D23"/>
    <w:rsid w:val="00435181"/>
    <w:rsid w:val="00437C5C"/>
    <w:rsid w:val="0044073A"/>
    <w:rsid w:val="004414F3"/>
    <w:rsid w:val="004442F8"/>
    <w:rsid w:val="00447A97"/>
    <w:rsid w:val="00447BE7"/>
    <w:rsid w:val="004515C0"/>
    <w:rsid w:val="00464316"/>
    <w:rsid w:val="0046499D"/>
    <w:rsid w:val="00464C6D"/>
    <w:rsid w:val="00470C03"/>
    <w:rsid w:val="00471F24"/>
    <w:rsid w:val="004725D1"/>
    <w:rsid w:val="00472E11"/>
    <w:rsid w:val="0047476D"/>
    <w:rsid w:val="0047714D"/>
    <w:rsid w:val="0048041F"/>
    <w:rsid w:val="00481436"/>
    <w:rsid w:val="00482F7D"/>
    <w:rsid w:val="00483C36"/>
    <w:rsid w:val="00483E34"/>
    <w:rsid w:val="00485D97"/>
    <w:rsid w:val="004866E2"/>
    <w:rsid w:val="00490C74"/>
    <w:rsid w:val="00491BC4"/>
    <w:rsid w:val="00493637"/>
    <w:rsid w:val="00494824"/>
    <w:rsid w:val="004961DF"/>
    <w:rsid w:val="004A1574"/>
    <w:rsid w:val="004A4EE1"/>
    <w:rsid w:val="004A5AFF"/>
    <w:rsid w:val="004A5BD8"/>
    <w:rsid w:val="004A7B39"/>
    <w:rsid w:val="004A7F6B"/>
    <w:rsid w:val="004B412B"/>
    <w:rsid w:val="004B4692"/>
    <w:rsid w:val="004B5AA5"/>
    <w:rsid w:val="004B65E2"/>
    <w:rsid w:val="004B6C3E"/>
    <w:rsid w:val="004C17A8"/>
    <w:rsid w:val="004C17B4"/>
    <w:rsid w:val="004C2076"/>
    <w:rsid w:val="004C33BB"/>
    <w:rsid w:val="004C3B7A"/>
    <w:rsid w:val="004D2EAA"/>
    <w:rsid w:val="004D7054"/>
    <w:rsid w:val="004E1E4C"/>
    <w:rsid w:val="004E29B3"/>
    <w:rsid w:val="004E42E4"/>
    <w:rsid w:val="004E4EF6"/>
    <w:rsid w:val="004E6B38"/>
    <w:rsid w:val="004F1CD4"/>
    <w:rsid w:val="004F5286"/>
    <w:rsid w:val="004F5EAA"/>
    <w:rsid w:val="004F69B6"/>
    <w:rsid w:val="004F76A4"/>
    <w:rsid w:val="0050042D"/>
    <w:rsid w:val="00501F51"/>
    <w:rsid w:val="00502241"/>
    <w:rsid w:val="00502D27"/>
    <w:rsid w:val="00506643"/>
    <w:rsid w:val="005101E2"/>
    <w:rsid w:val="00510D16"/>
    <w:rsid w:val="0051204B"/>
    <w:rsid w:val="00512144"/>
    <w:rsid w:val="00515112"/>
    <w:rsid w:val="005202B2"/>
    <w:rsid w:val="005207D8"/>
    <w:rsid w:val="0052402B"/>
    <w:rsid w:val="00525C1C"/>
    <w:rsid w:val="0052694B"/>
    <w:rsid w:val="00526C7B"/>
    <w:rsid w:val="00532482"/>
    <w:rsid w:val="00540149"/>
    <w:rsid w:val="00540EEB"/>
    <w:rsid w:val="005416BD"/>
    <w:rsid w:val="00542691"/>
    <w:rsid w:val="00542D68"/>
    <w:rsid w:val="005436F3"/>
    <w:rsid w:val="00544109"/>
    <w:rsid w:val="005476E5"/>
    <w:rsid w:val="00547AE8"/>
    <w:rsid w:val="00550257"/>
    <w:rsid w:val="00550EEB"/>
    <w:rsid w:val="00551E53"/>
    <w:rsid w:val="00560138"/>
    <w:rsid w:val="00560254"/>
    <w:rsid w:val="005613AF"/>
    <w:rsid w:val="005619F4"/>
    <w:rsid w:val="00561C37"/>
    <w:rsid w:val="00562EF2"/>
    <w:rsid w:val="00563C59"/>
    <w:rsid w:val="00570769"/>
    <w:rsid w:val="00571173"/>
    <w:rsid w:val="00572050"/>
    <w:rsid w:val="00574559"/>
    <w:rsid w:val="00580686"/>
    <w:rsid w:val="005813DA"/>
    <w:rsid w:val="00582512"/>
    <w:rsid w:val="00583E4F"/>
    <w:rsid w:val="00584AC0"/>
    <w:rsid w:val="00585EFB"/>
    <w:rsid w:val="0058729F"/>
    <w:rsid w:val="00587D64"/>
    <w:rsid w:val="005908AC"/>
    <w:rsid w:val="00590D07"/>
    <w:rsid w:val="00591CC8"/>
    <w:rsid w:val="005938FD"/>
    <w:rsid w:val="00593B5E"/>
    <w:rsid w:val="00594EFD"/>
    <w:rsid w:val="0059511D"/>
    <w:rsid w:val="005962EF"/>
    <w:rsid w:val="005A1F8D"/>
    <w:rsid w:val="005A34D0"/>
    <w:rsid w:val="005A3FA2"/>
    <w:rsid w:val="005B298D"/>
    <w:rsid w:val="005B5947"/>
    <w:rsid w:val="005B7787"/>
    <w:rsid w:val="005C3348"/>
    <w:rsid w:val="005C7D2F"/>
    <w:rsid w:val="005C7DBB"/>
    <w:rsid w:val="005D1311"/>
    <w:rsid w:val="005D1E16"/>
    <w:rsid w:val="005D2006"/>
    <w:rsid w:val="005D4591"/>
    <w:rsid w:val="005D50CE"/>
    <w:rsid w:val="005D542F"/>
    <w:rsid w:val="005D549A"/>
    <w:rsid w:val="005D5C3C"/>
    <w:rsid w:val="005E1002"/>
    <w:rsid w:val="005E22EC"/>
    <w:rsid w:val="005E3209"/>
    <w:rsid w:val="005E5F10"/>
    <w:rsid w:val="005E6614"/>
    <w:rsid w:val="005E7AA2"/>
    <w:rsid w:val="005F07A8"/>
    <w:rsid w:val="005F1553"/>
    <w:rsid w:val="005F2779"/>
    <w:rsid w:val="005F48FF"/>
    <w:rsid w:val="00600AEE"/>
    <w:rsid w:val="00601072"/>
    <w:rsid w:val="00603D40"/>
    <w:rsid w:val="006120F0"/>
    <w:rsid w:val="0061237C"/>
    <w:rsid w:val="00612C3A"/>
    <w:rsid w:val="006155F4"/>
    <w:rsid w:val="00617C64"/>
    <w:rsid w:val="006242AA"/>
    <w:rsid w:val="00627C73"/>
    <w:rsid w:val="00627C7D"/>
    <w:rsid w:val="00627FDD"/>
    <w:rsid w:val="00632BCC"/>
    <w:rsid w:val="006368B8"/>
    <w:rsid w:val="006371F1"/>
    <w:rsid w:val="00637618"/>
    <w:rsid w:val="00641F48"/>
    <w:rsid w:val="00642D89"/>
    <w:rsid w:val="00644CA0"/>
    <w:rsid w:val="00645990"/>
    <w:rsid w:val="00645C51"/>
    <w:rsid w:val="006502E6"/>
    <w:rsid w:val="00650DB9"/>
    <w:rsid w:val="00652850"/>
    <w:rsid w:val="00655813"/>
    <w:rsid w:val="00655862"/>
    <w:rsid w:val="006563DB"/>
    <w:rsid w:val="0065749B"/>
    <w:rsid w:val="00660CB8"/>
    <w:rsid w:val="006612DD"/>
    <w:rsid w:val="006637A7"/>
    <w:rsid w:val="0066393F"/>
    <w:rsid w:val="0066429B"/>
    <w:rsid w:val="00666D3B"/>
    <w:rsid w:val="00671084"/>
    <w:rsid w:val="0067409A"/>
    <w:rsid w:val="00677358"/>
    <w:rsid w:val="00681D11"/>
    <w:rsid w:val="006825CF"/>
    <w:rsid w:val="00684247"/>
    <w:rsid w:val="0068470E"/>
    <w:rsid w:val="006879A0"/>
    <w:rsid w:val="00690CCA"/>
    <w:rsid w:val="006945CD"/>
    <w:rsid w:val="00696CB1"/>
    <w:rsid w:val="00697F80"/>
    <w:rsid w:val="006A012C"/>
    <w:rsid w:val="006A205D"/>
    <w:rsid w:val="006A34A3"/>
    <w:rsid w:val="006A38BC"/>
    <w:rsid w:val="006A3BC1"/>
    <w:rsid w:val="006A3D19"/>
    <w:rsid w:val="006A4C24"/>
    <w:rsid w:val="006A672F"/>
    <w:rsid w:val="006B2426"/>
    <w:rsid w:val="006B2E75"/>
    <w:rsid w:val="006B3E03"/>
    <w:rsid w:val="006B4A17"/>
    <w:rsid w:val="006B7193"/>
    <w:rsid w:val="006B730D"/>
    <w:rsid w:val="006C251E"/>
    <w:rsid w:val="006C61F9"/>
    <w:rsid w:val="006D1D67"/>
    <w:rsid w:val="006D2009"/>
    <w:rsid w:val="006D344A"/>
    <w:rsid w:val="006D3BA1"/>
    <w:rsid w:val="006D5E53"/>
    <w:rsid w:val="006D743B"/>
    <w:rsid w:val="006D7EA2"/>
    <w:rsid w:val="006E0B7B"/>
    <w:rsid w:val="006E55A0"/>
    <w:rsid w:val="006E63BC"/>
    <w:rsid w:val="006E6584"/>
    <w:rsid w:val="006E70F6"/>
    <w:rsid w:val="006E7A40"/>
    <w:rsid w:val="006F4BF4"/>
    <w:rsid w:val="006F6219"/>
    <w:rsid w:val="006F6890"/>
    <w:rsid w:val="006F7B05"/>
    <w:rsid w:val="00706F35"/>
    <w:rsid w:val="007074BB"/>
    <w:rsid w:val="007102CA"/>
    <w:rsid w:val="00710AAF"/>
    <w:rsid w:val="007127B6"/>
    <w:rsid w:val="00720926"/>
    <w:rsid w:val="00723191"/>
    <w:rsid w:val="007239CC"/>
    <w:rsid w:val="0072408E"/>
    <w:rsid w:val="00724BFE"/>
    <w:rsid w:val="007253F7"/>
    <w:rsid w:val="00730DD0"/>
    <w:rsid w:val="00731D69"/>
    <w:rsid w:val="00732566"/>
    <w:rsid w:val="007357BA"/>
    <w:rsid w:val="0074440E"/>
    <w:rsid w:val="007456CF"/>
    <w:rsid w:val="00746E6D"/>
    <w:rsid w:val="00747847"/>
    <w:rsid w:val="0075019B"/>
    <w:rsid w:val="00750229"/>
    <w:rsid w:val="007502DB"/>
    <w:rsid w:val="007569C4"/>
    <w:rsid w:val="007663BE"/>
    <w:rsid w:val="00766B27"/>
    <w:rsid w:val="00766D21"/>
    <w:rsid w:val="00767003"/>
    <w:rsid w:val="0076771F"/>
    <w:rsid w:val="0077288F"/>
    <w:rsid w:val="00773432"/>
    <w:rsid w:val="00773623"/>
    <w:rsid w:val="00774787"/>
    <w:rsid w:val="00775B2E"/>
    <w:rsid w:val="00775DC4"/>
    <w:rsid w:val="00776545"/>
    <w:rsid w:val="007777D0"/>
    <w:rsid w:val="00781513"/>
    <w:rsid w:val="007815E9"/>
    <w:rsid w:val="00781B82"/>
    <w:rsid w:val="00781BF7"/>
    <w:rsid w:val="00782A0A"/>
    <w:rsid w:val="00783A5B"/>
    <w:rsid w:val="00783FAB"/>
    <w:rsid w:val="00784D58"/>
    <w:rsid w:val="00793F0A"/>
    <w:rsid w:val="00794F23"/>
    <w:rsid w:val="007957E1"/>
    <w:rsid w:val="00796B3A"/>
    <w:rsid w:val="007A114B"/>
    <w:rsid w:val="007A3716"/>
    <w:rsid w:val="007A6318"/>
    <w:rsid w:val="007A7AC3"/>
    <w:rsid w:val="007B0DB7"/>
    <w:rsid w:val="007B2B77"/>
    <w:rsid w:val="007B3971"/>
    <w:rsid w:val="007B3B41"/>
    <w:rsid w:val="007B415D"/>
    <w:rsid w:val="007C408E"/>
    <w:rsid w:val="007C4970"/>
    <w:rsid w:val="007C4C19"/>
    <w:rsid w:val="007C7633"/>
    <w:rsid w:val="007C79C9"/>
    <w:rsid w:val="007D0646"/>
    <w:rsid w:val="007D25B3"/>
    <w:rsid w:val="007D2E97"/>
    <w:rsid w:val="007D3EC9"/>
    <w:rsid w:val="007D6419"/>
    <w:rsid w:val="007D6B67"/>
    <w:rsid w:val="007E2AAE"/>
    <w:rsid w:val="007E39AB"/>
    <w:rsid w:val="007E42D9"/>
    <w:rsid w:val="007E4E9D"/>
    <w:rsid w:val="007F2831"/>
    <w:rsid w:val="007F5626"/>
    <w:rsid w:val="007F5DE9"/>
    <w:rsid w:val="007F6CEA"/>
    <w:rsid w:val="00800606"/>
    <w:rsid w:val="00803F28"/>
    <w:rsid w:val="00805BED"/>
    <w:rsid w:val="00806E29"/>
    <w:rsid w:val="00807456"/>
    <w:rsid w:val="00807C28"/>
    <w:rsid w:val="00811565"/>
    <w:rsid w:val="00813A7A"/>
    <w:rsid w:val="00813D41"/>
    <w:rsid w:val="00814CB2"/>
    <w:rsid w:val="00814EFE"/>
    <w:rsid w:val="00817A6B"/>
    <w:rsid w:val="00820232"/>
    <w:rsid w:val="00821384"/>
    <w:rsid w:val="0082346F"/>
    <w:rsid w:val="00827B35"/>
    <w:rsid w:val="00827D7E"/>
    <w:rsid w:val="008304AA"/>
    <w:rsid w:val="0083112F"/>
    <w:rsid w:val="008316D3"/>
    <w:rsid w:val="00831AB7"/>
    <w:rsid w:val="00831CD9"/>
    <w:rsid w:val="008336C6"/>
    <w:rsid w:val="00836EFF"/>
    <w:rsid w:val="00837FDE"/>
    <w:rsid w:val="008424C0"/>
    <w:rsid w:val="008439BC"/>
    <w:rsid w:val="00851D9F"/>
    <w:rsid w:val="008551FC"/>
    <w:rsid w:val="00855DFE"/>
    <w:rsid w:val="0086014B"/>
    <w:rsid w:val="00861026"/>
    <w:rsid w:val="00862199"/>
    <w:rsid w:val="008624D1"/>
    <w:rsid w:val="00862B51"/>
    <w:rsid w:val="00862F22"/>
    <w:rsid w:val="0086388F"/>
    <w:rsid w:val="008639DD"/>
    <w:rsid w:val="00866745"/>
    <w:rsid w:val="008703CC"/>
    <w:rsid w:val="00870D05"/>
    <w:rsid w:val="00873B87"/>
    <w:rsid w:val="0088074D"/>
    <w:rsid w:val="00883B79"/>
    <w:rsid w:val="0088608B"/>
    <w:rsid w:val="00886D44"/>
    <w:rsid w:val="0089345B"/>
    <w:rsid w:val="0089704E"/>
    <w:rsid w:val="008A1E0E"/>
    <w:rsid w:val="008A6EAC"/>
    <w:rsid w:val="008A7A64"/>
    <w:rsid w:val="008B09B6"/>
    <w:rsid w:val="008B1CB7"/>
    <w:rsid w:val="008B1FFA"/>
    <w:rsid w:val="008B7517"/>
    <w:rsid w:val="008C2384"/>
    <w:rsid w:val="008C458F"/>
    <w:rsid w:val="008C488D"/>
    <w:rsid w:val="008C65B3"/>
    <w:rsid w:val="008D1168"/>
    <w:rsid w:val="008D2703"/>
    <w:rsid w:val="008D3A36"/>
    <w:rsid w:val="008D3E82"/>
    <w:rsid w:val="008D5342"/>
    <w:rsid w:val="008D5365"/>
    <w:rsid w:val="008D6556"/>
    <w:rsid w:val="008D6863"/>
    <w:rsid w:val="008D7722"/>
    <w:rsid w:val="008E0C3B"/>
    <w:rsid w:val="008E118B"/>
    <w:rsid w:val="008E17B9"/>
    <w:rsid w:val="008E463E"/>
    <w:rsid w:val="008E5838"/>
    <w:rsid w:val="008E617B"/>
    <w:rsid w:val="008E6E1A"/>
    <w:rsid w:val="008E74A8"/>
    <w:rsid w:val="008F00A3"/>
    <w:rsid w:val="008F0504"/>
    <w:rsid w:val="008F2091"/>
    <w:rsid w:val="008F2ED6"/>
    <w:rsid w:val="008F3C59"/>
    <w:rsid w:val="008F491D"/>
    <w:rsid w:val="008F545B"/>
    <w:rsid w:val="008F6736"/>
    <w:rsid w:val="009021C6"/>
    <w:rsid w:val="009028E2"/>
    <w:rsid w:val="009034D6"/>
    <w:rsid w:val="00904FCB"/>
    <w:rsid w:val="00910068"/>
    <w:rsid w:val="00911F93"/>
    <w:rsid w:val="009155A0"/>
    <w:rsid w:val="009177FA"/>
    <w:rsid w:val="009203B8"/>
    <w:rsid w:val="00920848"/>
    <w:rsid w:val="00921CD6"/>
    <w:rsid w:val="009264C9"/>
    <w:rsid w:val="009276F4"/>
    <w:rsid w:val="00927DCD"/>
    <w:rsid w:val="00932512"/>
    <w:rsid w:val="00932D1D"/>
    <w:rsid w:val="009348A2"/>
    <w:rsid w:val="00936C96"/>
    <w:rsid w:val="00937005"/>
    <w:rsid w:val="009373B3"/>
    <w:rsid w:val="00941B15"/>
    <w:rsid w:val="0094348C"/>
    <w:rsid w:val="00943C9A"/>
    <w:rsid w:val="00947F71"/>
    <w:rsid w:val="00952853"/>
    <w:rsid w:val="00952AD7"/>
    <w:rsid w:val="00955D79"/>
    <w:rsid w:val="009663E8"/>
    <w:rsid w:val="00966A68"/>
    <w:rsid w:val="00971B8E"/>
    <w:rsid w:val="00974B62"/>
    <w:rsid w:val="009772D9"/>
    <w:rsid w:val="00983690"/>
    <w:rsid w:val="0098444A"/>
    <w:rsid w:val="0098519A"/>
    <w:rsid w:val="0098572F"/>
    <w:rsid w:val="00991092"/>
    <w:rsid w:val="00991C48"/>
    <w:rsid w:val="00995A9B"/>
    <w:rsid w:val="00996C58"/>
    <w:rsid w:val="009971F0"/>
    <w:rsid w:val="009A0981"/>
    <w:rsid w:val="009A26E5"/>
    <w:rsid w:val="009A4D43"/>
    <w:rsid w:val="009A5309"/>
    <w:rsid w:val="009A6598"/>
    <w:rsid w:val="009B00DD"/>
    <w:rsid w:val="009B2019"/>
    <w:rsid w:val="009B2560"/>
    <w:rsid w:val="009B2F86"/>
    <w:rsid w:val="009B386C"/>
    <w:rsid w:val="009B4541"/>
    <w:rsid w:val="009B7579"/>
    <w:rsid w:val="009C0C65"/>
    <w:rsid w:val="009C424F"/>
    <w:rsid w:val="009C469A"/>
    <w:rsid w:val="009C4916"/>
    <w:rsid w:val="009C5AD6"/>
    <w:rsid w:val="009C63B0"/>
    <w:rsid w:val="009D0AEA"/>
    <w:rsid w:val="009D1B64"/>
    <w:rsid w:val="009D1C80"/>
    <w:rsid w:val="009D2959"/>
    <w:rsid w:val="009E1554"/>
    <w:rsid w:val="009E190F"/>
    <w:rsid w:val="009E6F97"/>
    <w:rsid w:val="009F158C"/>
    <w:rsid w:val="009F6856"/>
    <w:rsid w:val="009F709A"/>
    <w:rsid w:val="009F7A13"/>
    <w:rsid w:val="00A0103B"/>
    <w:rsid w:val="00A02471"/>
    <w:rsid w:val="00A02942"/>
    <w:rsid w:val="00A02DCA"/>
    <w:rsid w:val="00A058BC"/>
    <w:rsid w:val="00A06206"/>
    <w:rsid w:val="00A06362"/>
    <w:rsid w:val="00A15011"/>
    <w:rsid w:val="00A15167"/>
    <w:rsid w:val="00A15399"/>
    <w:rsid w:val="00A15B24"/>
    <w:rsid w:val="00A165C4"/>
    <w:rsid w:val="00A16B23"/>
    <w:rsid w:val="00A20748"/>
    <w:rsid w:val="00A25D4B"/>
    <w:rsid w:val="00A30A4E"/>
    <w:rsid w:val="00A34483"/>
    <w:rsid w:val="00A3456D"/>
    <w:rsid w:val="00A3604F"/>
    <w:rsid w:val="00A41E25"/>
    <w:rsid w:val="00A4271E"/>
    <w:rsid w:val="00A450AB"/>
    <w:rsid w:val="00A4778F"/>
    <w:rsid w:val="00A5017D"/>
    <w:rsid w:val="00A51AB6"/>
    <w:rsid w:val="00A55B7D"/>
    <w:rsid w:val="00A57363"/>
    <w:rsid w:val="00A6045E"/>
    <w:rsid w:val="00A617BE"/>
    <w:rsid w:val="00A62A12"/>
    <w:rsid w:val="00A62A5D"/>
    <w:rsid w:val="00A63A02"/>
    <w:rsid w:val="00A649B3"/>
    <w:rsid w:val="00A6529A"/>
    <w:rsid w:val="00A6676A"/>
    <w:rsid w:val="00A66A60"/>
    <w:rsid w:val="00A6707C"/>
    <w:rsid w:val="00A711A3"/>
    <w:rsid w:val="00A745C0"/>
    <w:rsid w:val="00A75399"/>
    <w:rsid w:val="00A76EE0"/>
    <w:rsid w:val="00A81052"/>
    <w:rsid w:val="00A81CC7"/>
    <w:rsid w:val="00A829D4"/>
    <w:rsid w:val="00A84432"/>
    <w:rsid w:val="00A84C29"/>
    <w:rsid w:val="00A85DA8"/>
    <w:rsid w:val="00A85E8C"/>
    <w:rsid w:val="00A860F7"/>
    <w:rsid w:val="00A863DA"/>
    <w:rsid w:val="00A86B9B"/>
    <w:rsid w:val="00A86F27"/>
    <w:rsid w:val="00A878D8"/>
    <w:rsid w:val="00A87B4F"/>
    <w:rsid w:val="00A912D0"/>
    <w:rsid w:val="00A943AD"/>
    <w:rsid w:val="00A95677"/>
    <w:rsid w:val="00A969EF"/>
    <w:rsid w:val="00A97269"/>
    <w:rsid w:val="00AA08F7"/>
    <w:rsid w:val="00AA0918"/>
    <w:rsid w:val="00AA10E0"/>
    <w:rsid w:val="00AA1654"/>
    <w:rsid w:val="00AA48DC"/>
    <w:rsid w:val="00AB1D2D"/>
    <w:rsid w:val="00AB4229"/>
    <w:rsid w:val="00AB5A63"/>
    <w:rsid w:val="00AB6281"/>
    <w:rsid w:val="00AC7071"/>
    <w:rsid w:val="00AC76D4"/>
    <w:rsid w:val="00AD3BAC"/>
    <w:rsid w:val="00AD4226"/>
    <w:rsid w:val="00AD71FC"/>
    <w:rsid w:val="00AD7F65"/>
    <w:rsid w:val="00AD7FDF"/>
    <w:rsid w:val="00AE0BD9"/>
    <w:rsid w:val="00AE5B16"/>
    <w:rsid w:val="00AE66F5"/>
    <w:rsid w:val="00AF0EE9"/>
    <w:rsid w:val="00AF197B"/>
    <w:rsid w:val="00AF49B7"/>
    <w:rsid w:val="00AF5DB9"/>
    <w:rsid w:val="00B0128C"/>
    <w:rsid w:val="00B01D14"/>
    <w:rsid w:val="00B02039"/>
    <w:rsid w:val="00B02420"/>
    <w:rsid w:val="00B03D8D"/>
    <w:rsid w:val="00B04107"/>
    <w:rsid w:val="00B046AB"/>
    <w:rsid w:val="00B0668E"/>
    <w:rsid w:val="00B14A78"/>
    <w:rsid w:val="00B1545D"/>
    <w:rsid w:val="00B1597E"/>
    <w:rsid w:val="00B15BEC"/>
    <w:rsid w:val="00B20B6E"/>
    <w:rsid w:val="00B23B6E"/>
    <w:rsid w:val="00B24041"/>
    <w:rsid w:val="00B2525C"/>
    <w:rsid w:val="00B257B2"/>
    <w:rsid w:val="00B26816"/>
    <w:rsid w:val="00B26B2F"/>
    <w:rsid w:val="00B26C6B"/>
    <w:rsid w:val="00B3053A"/>
    <w:rsid w:val="00B314C7"/>
    <w:rsid w:val="00B35B53"/>
    <w:rsid w:val="00B369A6"/>
    <w:rsid w:val="00B41387"/>
    <w:rsid w:val="00B421D0"/>
    <w:rsid w:val="00B42366"/>
    <w:rsid w:val="00B4795C"/>
    <w:rsid w:val="00B4798D"/>
    <w:rsid w:val="00B54257"/>
    <w:rsid w:val="00B561D5"/>
    <w:rsid w:val="00B56AF0"/>
    <w:rsid w:val="00B60202"/>
    <w:rsid w:val="00B6080B"/>
    <w:rsid w:val="00B612F9"/>
    <w:rsid w:val="00B62034"/>
    <w:rsid w:val="00B62AAE"/>
    <w:rsid w:val="00B631CD"/>
    <w:rsid w:val="00B63864"/>
    <w:rsid w:val="00B65721"/>
    <w:rsid w:val="00B70102"/>
    <w:rsid w:val="00B70C88"/>
    <w:rsid w:val="00B7223A"/>
    <w:rsid w:val="00B72347"/>
    <w:rsid w:val="00B753BC"/>
    <w:rsid w:val="00B77934"/>
    <w:rsid w:val="00B82801"/>
    <w:rsid w:val="00B83290"/>
    <w:rsid w:val="00B835D6"/>
    <w:rsid w:val="00B85580"/>
    <w:rsid w:val="00B859C6"/>
    <w:rsid w:val="00B86B75"/>
    <w:rsid w:val="00B87FCB"/>
    <w:rsid w:val="00B91F3A"/>
    <w:rsid w:val="00B9259C"/>
    <w:rsid w:val="00B92E67"/>
    <w:rsid w:val="00B9396C"/>
    <w:rsid w:val="00B93B40"/>
    <w:rsid w:val="00B93B84"/>
    <w:rsid w:val="00B93CF2"/>
    <w:rsid w:val="00B94182"/>
    <w:rsid w:val="00B942BE"/>
    <w:rsid w:val="00B94E8B"/>
    <w:rsid w:val="00B95630"/>
    <w:rsid w:val="00B97B50"/>
    <w:rsid w:val="00BA0471"/>
    <w:rsid w:val="00BA06D8"/>
    <w:rsid w:val="00BA13E2"/>
    <w:rsid w:val="00BA173C"/>
    <w:rsid w:val="00BA17F2"/>
    <w:rsid w:val="00BA32C6"/>
    <w:rsid w:val="00BA3785"/>
    <w:rsid w:val="00BA3C9A"/>
    <w:rsid w:val="00BA520B"/>
    <w:rsid w:val="00BB25FB"/>
    <w:rsid w:val="00BB2E94"/>
    <w:rsid w:val="00BB4C22"/>
    <w:rsid w:val="00BB505F"/>
    <w:rsid w:val="00BB7514"/>
    <w:rsid w:val="00BB76C8"/>
    <w:rsid w:val="00BC0A2E"/>
    <w:rsid w:val="00BC12A2"/>
    <w:rsid w:val="00BC194E"/>
    <w:rsid w:val="00BC22B3"/>
    <w:rsid w:val="00BC4011"/>
    <w:rsid w:val="00BC48D5"/>
    <w:rsid w:val="00BC4A74"/>
    <w:rsid w:val="00BC7A14"/>
    <w:rsid w:val="00BD23F1"/>
    <w:rsid w:val="00BD2C8B"/>
    <w:rsid w:val="00BD3892"/>
    <w:rsid w:val="00BD3DAC"/>
    <w:rsid w:val="00BD3DEF"/>
    <w:rsid w:val="00BE04A6"/>
    <w:rsid w:val="00BE11B3"/>
    <w:rsid w:val="00BE18F1"/>
    <w:rsid w:val="00BE2883"/>
    <w:rsid w:val="00BE4044"/>
    <w:rsid w:val="00BE5F82"/>
    <w:rsid w:val="00BE656A"/>
    <w:rsid w:val="00BF15D0"/>
    <w:rsid w:val="00BF1D1A"/>
    <w:rsid w:val="00BF3166"/>
    <w:rsid w:val="00BF661D"/>
    <w:rsid w:val="00C005FF"/>
    <w:rsid w:val="00C0419A"/>
    <w:rsid w:val="00C06203"/>
    <w:rsid w:val="00C11072"/>
    <w:rsid w:val="00C12219"/>
    <w:rsid w:val="00C12A65"/>
    <w:rsid w:val="00C144B2"/>
    <w:rsid w:val="00C1464B"/>
    <w:rsid w:val="00C162DE"/>
    <w:rsid w:val="00C16512"/>
    <w:rsid w:val="00C16E91"/>
    <w:rsid w:val="00C212F9"/>
    <w:rsid w:val="00C2393B"/>
    <w:rsid w:val="00C27FD4"/>
    <w:rsid w:val="00C30D31"/>
    <w:rsid w:val="00C31806"/>
    <w:rsid w:val="00C36279"/>
    <w:rsid w:val="00C41733"/>
    <w:rsid w:val="00C42A99"/>
    <w:rsid w:val="00C43D38"/>
    <w:rsid w:val="00C4585C"/>
    <w:rsid w:val="00C51CCC"/>
    <w:rsid w:val="00C55F5A"/>
    <w:rsid w:val="00C56366"/>
    <w:rsid w:val="00C568D4"/>
    <w:rsid w:val="00C56E1F"/>
    <w:rsid w:val="00C5789E"/>
    <w:rsid w:val="00C630B0"/>
    <w:rsid w:val="00C65977"/>
    <w:rsid w:val="00C65BCF"/>
    <w:rsid w:val="00C6658F"/>
    <w:rsid w:val="00C66E0C"/>
    <w:rsid w:val="00C71EE3"/>
    <w:rsid w:val="00C740A2"/>
    <w:rsid w:val="00C74EB5"/>
    <w:rsid w:val="00C81826"/>
    <w:rsid w:val="00C84F59"/>
    <w:rsid w:val="00C85F94"/>
    <w:rsid w:val="00C8742F"/>
    <w:rsid w:val="00C918A0"/>
    <w:rsid w:val="00C91AEA"/>
    <w:rsid w:val="00C92DC7"/>
    <w:rsid w:val="00C92E80"/>
    <w:rsid w:val="00C93841"/>
    <w:rsid w:val="00C939B7"/>
    <w:rsid w:val="00C9559F"/>
    <w:rsid w:val="00CA0206"/>
    <w:rsid w:val="00CA1D57"/>
    <w:rsid w:val="00CA2B45"/>
    <w:rsid w:val="00CA5961"/>
    <w:rsid w:val="00CA61FF"/>
    <w:rsid w:val="00CA625C"/>
    <w:rsid w:val="00CA7EE1"/>
    <w:rsid w:val="00CB043A"/>
    <w:rsid w:val="00CB495B"/>
    <w:rsid w:val="00CB6245"/>
    <w:rsid w:val="00CB68C8"/>
    <w:rsid w:val="00CC3EF2"/>
    <w:rsid w:val="00CC44EB"/>
    <w:rsid w:val="00CC4749"/>
    <w:rsid w:val="00CC604C"/>
    <w:rsid w:val="00CC7B4F"/>
    <w:rsid w:val="00CD011E"/>
    <w:rsid w:val="00CD05CF"/>
    <w:rsid w:val="00CD1128"/>
    <w:rsid w:val="00CD2204"/>
    <w:rsid w:val="00CD2D66"/>
    <w:rsid w:val="00CD2EB3"/>
    <w:rsid w:val="00CD6ED3"/>
    <w:rsid w:val="00CD7D4D"/>
    <w:rsid w:val="00CE0193"/>
    <w:rsid w:val="00CE0B68"/>
    <w:rsid w:val="00CE3AF7"/>
    <w:rsid w:val="00CE7658"/>
    <w:rsid w:val="00CF1BC9"/>
    <w:rsid w:val="00CF1FB9"/>
    <w:rsid w:val="00CF333E"/>
    <w:rsid w:val="00CF637D"/>
    <w:rsid w:val="00D00B46"/>
    <w:rsid w:val="00D010E0"/>
    <w:rsid w:val="00D0233F"/>
    <w:rsid w:val="00D03C92"/>
    <w:rsid w:val="00D03F5C"/>
    <w:rsid w:val="00D07C52"/>
    <w:rsid w:val="00D117FA"/>
    <w:rsid w:val="00D17156"/>
    <w:rsid w:val="00D2155F"/>
    <w:rsid w:val="00D2171D"/>
    <w:rsid w:val="00D24FC2"/>
    <w:rsid w:val="00D24FD6"/>
    <w:rsid w:val="00D25CE9"/>
    <w:rsid w:val="00D273C4"/>
    <w:rsid w:val="00D33F97"/>
    <w:rsid w:val="00D36CBC"/>
    <w:rsid w:val="00D3747A"/>
    <w:rsid w:val="00D37890"/>
    <w:rsid w:val="00D37CF6"/>
    <w:rsid w:val="00D412DE"/>
    <w:rsid w:val="00D42C7A"/>
    <w:rsid w:val="00D458CA"/>
    <w:rsid w:val="00D52968"/>
    <w:rsid w:val="00D56A26"/>
    <w:rsid w:val="00D57975"/>
    <w:rsid w:val="00D62FD1"/>
    <w:rsid w:val="00D651A0"/>
    <w:rsid w:val="00D652E9"/>
    <w:rsid w:val="00D70766"/>
    <w:rsid w:val="00D731FE"/>
    <w:rsid w:val="00D73561"/>
    <w:rsid w:val="00D73B12"/>
    <w:rsid w:val="00D81352"/>
    <w:rsid w:val="00D82393"/>
    <w:rsid w:val="00D85242"/>
    <w:rsid w:val="00D87B07"/>
    <w:rsid w:val="00D90446"/>
    <w:rsid w:val="00D9153D"/>
    <w:rsid w:val="00D91FFF"/>
    <w:rsid w:val="00DA1062"/>
    <w:rsid w:val="00DA2278"/>
    <w:rsid w:val="00DA4C07"/>
    <w:rsid w:val="00DA7301"/>
    <w:rsid w:val="00DB0527"/>
    <w:rsid w:val="00DB22B2"/>
    <w:rsid w:val="00DB2D96"/>
    <w:rsid w:val="00DB61AA"/>
    <w:rsid w:val="00DC19DB"/>
    <w:rsid w:val="00DC5A82"/>
    <w:rsid w:val="00DD04D9"/>
    <w:rsid w:val="00DD22F8"/>
    <w:rsid w:val="00DD4DA7"/>
    <w:rsid w:val="00DD6391"/>
    <w:rsid w:val="00DE0767"/>
    <w:rsid w:val="00DE1FE5"/>
    <w:rsid w:val="00DE5183"/>
    <w:rsid w:val="00DE5A16"/>
    <w:rsid w:val="00DE70DF"/>
    <w:rsid w:val="00DF1650"/>
    <w:rsid w:val="00DF3187"/>
    <w:rsid w:val="00DF3412"/>
    <w:rsid w:val="00DF5BA3"/>
    <w:rsid w:val="00DF5CFF"/>
    <w:rsid w:val="00DF5D1C"/>
    <w:rsid w:val="00E010BE"/>
    <w:rsid w:val="00E030BA"/>
    <w:rsid w:val="00E06B84"/>
    <w:rsid w:val="00E079B2"/>
    <w:rsid w:val="00E10963"/>
    <w:rsid w:val="00E11049"/>
    <w:rsid w:val="00E164FA"/>
    <w:rsid w:val="00E16B23"/>
    <w:rsid w:val="00E172CD"/>
    <w:rsid w:val="00E22B3C"/>
    <w:rsid w:val="00E2512F"/>
    <w:rsid w:val="00E25F7C"/>
    <w:rsid w:val="00E3066F"/>
    <w:rsid w:val="00E315A3"/>
    <w:rsid w:val="00E31A19"/>
    <w:rsid w:val="00E334B0"/>
    <w:rsid w:val="00E36424"/>
    <w:rsid w:val="00E37EA5"/>
    <w:rsid w:val="00E40A00"/>
    <w:rsid w:val="00E41A7B"/>
    <w:rsid w:val="00E4221D"/>
    <w:rsid w:val="00E4260F"/>
    <w:rsid w:val="00E43E4C"/>
    <w:rsid w:val="00E45CBC"/>
    <w:rsid w:val="00E4742E"/>
    <w:rsid w:val="00E47A6E"/>
    <w:rsid w:val="00E50258"/>
    <w:rsid w:val="00E53C9B"/>
    <w:rsid w:val="00E53E77"/>
    <w:rsid w:val="00E55A31"/>
    <w:rsid w:val="00E613F2"/>
    <w:rsid w:val="00E719A0"/>
    <w:rsid w:val="00E719BC"/>
    <w:rsid w:val="00E71C9B"/>
    <w:rsid w:val="00E74304"/>
    <w:rsid w:val="00E76002"/>
    <w:rsid w:val="00E760D8"/>
    <w:rsid w:val="00E80475"/>
    <w:rsid w:val="00E87C47"/>
    <w:rsid w:val="00E9067C"/>
    <w:rsid w:val="00E93BEA"/>
    <w:rsid w:val="00E94429"/>
    <w:rsid w:val="00E969B9"/>
    <w:rsid w:val="00E96F27"/>
    <w:rsid w:val="00E970F8"/>
    <w:rsid w:val="00EA1C02"/>
    <w:rsid w:val="00EA2F86"/>
    <w:rsid w:val="00EA337C"/>
    <w:rsid w:val="00EA3DED"/>
    <w:rsid w:val="00EA4929"/>
    <w:rsid w:val="00EA6EEF"/>
    <w:rsid w:val="00EB08D8"/>
    <w:rsid w:val="00EB5558"/>
    <w:rsid w:val="00EB67E2"/>
    <w:rsid w:val="00EB721F"/>
    <w:rsid w:val="00EB7E00"/>
    <w:rsid w:val="00EC2FE2"/>
    <w:rsid w:val="00EC3003"/>
    <w:rsid w:val="00EC4668"/>
    <w:rsid w:val="00EC4E90"/>
    <w:rsid w:val="00ED0AE9"/>
    <w:rsid w:val="00ED0F19"/>
    <w:rsid w:val="00ED1D1D"/>
    <w:rsid w:val="00ED3EC3"/>
    <w:rsid w:val="00ED4559"/>
    <w:rsid w:val="00ED64B9"/>
    <w:rsid w:val="00ED7913"/>
    <w:rsid w:val="00EE2BF6"/>
    <w:rsid w:val="00EF2147"/>
    <w:rsid w:val="00EF2214"/>
    <w:rsid w:val="00EF41D7"/>
    <w:rsid w:val="00EF5FC2"/>
    <w:rsid w:val="00EF6C0B"/>
    <w:rsid w:val="00EF6EE2"/>
    <w:rsid w:val="00F00DAE"/>
    <w:rsid w:val="00F01177"/>
    <w:rsid w:val="00F0296A"/>
    <w:rsid w:val="00F04254"/>
    <w:rsid w:val="00F04A64"/>
    <w:rsid w:val="00F04B41"/>
    <w:rsid w:val="00F051A8"/>
    <w:rsid w:val="00F063D4"/>
    <w:rsid w:val="00F07C9F"/>
    <w:rsid w:val="00F12512"/>
    <w:rsid w:val="00F13E05"/>
    <w:rsid w:val="00F16EAF"/>
    <w:rsid w:val="00F20C75"/>
    <w:rsid w:val="00F2501B"/>
    <w:rsid w:val="00F263FB"/>
    <w:rsid w:val="00F309A0"/>
    <w:rsid w:val="00F33571"/>
    <w:rsid w:val="00F36917"/>
    <w:rsid w:val="00F36A03"/>
    <w:rsid w:val="00F37A70"/>
    <w:rsid w:val="00F408ED"/>
    <w:rsid w:val="00F41866"/>
    <w:rsid w:val="00F419A7"/>
    <w:rsid w:val="00F42B04"/>
    <w:rsid w:val="00F44F48"/>
    <w:rsid w:val="00F46936"/>
    <w:rsid w:val="00F4723E"/>
    <w:rsid w:val="00F5144E"/>
    <w:rsid w:val="00F52411"/>
    <w:rsid w:val="00F52598"/>
    <w:rsid w:val="00F6027F"/>
    <w:rsid w:val="00F60B02"/>
    <w:rsid w:val="00F61477"/>
    <w:rsid w:val="00F61BF0"/>
    <w:rsid w:val="00F622F3"/>
    <w:rsid w:val="00F672DA"/>
    <w:rsid w:val="00F6767D"/>
    <w:rsid w:val="00F70CB8"/>
    <w:rsid w:val="00F716A6"/>
    <w:rsid w:val="00F716E0"/>
    <w:rsid w:val="00F7297C"/>
    <w:rsid w:val="00F739F6"/>
    <w:rsid w:val="00F740EF"/>
    <w:rsid w:val="00F757E8"/>
    <w:rsid w:val="00F815DF"/>
    <w:rsid w:val="00F84ABD"/>
    <w:rsid w:val="00F8545E"/>
    <w:rsid w:val="00F91742"/>
    <w:rsid w:val="00F943D9"/>
    <w:rsid w:val="00F964DA"/>
    <w:rsid w:val="00F96CD3"/>
    <w:rsid w:val="00FA00F2"/>
    <w:rsid w:val="00FA42C1"/>
    <w:rsid w:val="00FA43C9"/>
    <w:rsid w:val="00FA5B99"/>
    <w:rsid w:val="00FA6982"/>
    <w:rsid w:val="00FA7ED7"/>
    <w:rsid w:val="00FB0840"/>
    <w:rsid w:val="00FB0AC1"/>
    <w:rsid w:val="00FB19E6"/>
    <w:rsid w:val="00FB36D4"/>
    <w:rsid w:val="00FB3719"/>
    <w:rsid w:val="00FB37D0"/>
    <w:rsid w:val="00FB4A63"/>
    <w:rsid w:val="00FB7174"/>
    <w:rsid w:val="00FB74DF"/>
    <w:rsid w:val="00FB7BC0"/>
    <w:rsid w:val="00FC0629"/>
    <w:rsid w:val="00FC07AA"/>
    <w:rsid w:val="00FC636B"/>
    <w:rsid w:val="00FC7587"/>
    <w:rsid w:val="00FC78B9"/>
    <w:rsid w:val="00FD0B36"/>
    <w:rsid w:val="00FD0BB2"/>
    <w:rsid w:val="00FD1050"/>
    <w:rsid w:val="00FD11F5"/>
    <w:rsid w:val="00FD4758"/>
    <w:rsid w:val="00FD5901"/>
    <w:rsid w:val="00FD7C6D"/>
    <w:rsid w:val="00FE0B04"/>
    <w:rsid w:val="00FE15CA"/>
    <w:rsid w:val="00FE2F22"/>
    <w:rsid w:val="00FE4258"/>
    <w:rsid w:val="00FF0846"/>
    <w:rsid w:val="00FF18E1"/>
    <w:rsid w:val="00FF3B6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47B9E"/>
  <w15:docId w15:val="{25A82168-F422-448E-BFC3-85F3B17D2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52A8"/>
    <w:pPr>
      <w:spacing w:line="240" w:lineRule="auto"/>
    </w:pPr>
    <w:rPr>
      <w:rFonts w:ascii="Circular Std Book" w:hAnsi="Circular Std Book"/>
    </w:rPr>
  </w:style>
  <w:style w:type="paragraph" w:styleId="Heading1">
    <w:name w:val="heading 1"/>
    <w:basedOn w:val="Normal"/>
    <w:next w:val="Normal"/>
    <w:link w:val="Heading1Char"/>
    <w:uiPriority w:val="9"/>
    <w:qFormat/>
    <w:rsid w:val="00CD2D66"/>
    <w:pPr>
      <w:keepNext/>
      <w:keepLines/>
      <w:spacing w:before="240" w:after="0"/>
      <w:outlineLvl w:val="0"/>
    </w:pPr>
    <w:rPr>
      <w:rFonts w:eastAsiaTheme="majorEastAsia" w:cs="Calibri"/>
      <w:b/>
      <w:color w:val="1F3864" w:themeColor="accent1" w:themeShade="80"/>
      <w:sz w:val="72"/>
      <w:szCs w:val="32"/>
    </w:rPr>
  </w:style>
  <w:style w:type="paragraph" w:styleId="Heading2">
    <w:name w:val="heading 2"/>
    <w:basedOn w:val="Normal"/>
    <w:next w:val="Normal"/>
    <w:link w:val="Heading2Char"/>
    <w:uiPriority w:val="9"/>
    <w:unhideWhenUsed/>
    <w:qFormat/>
    <w:rsid w:val="00CD2D66"/>
    <w:pPr>
      <w:keepNext/>
      <w:keepLines/>
      <w:spacing w:before="40" w:after="0"/>
      <w:outlineLvl w:val="1"/>
    </w:pPr>
    <w:rPr>
      <w:rFonts w:eastAsiaTheme="majorEastAsia" w:cs="Calibri"/>
      <w:b/>
      <w:color w:val="1F3864" w:themeColor="accent1" w:themeShade="80"/>
      <w:sz w:val="32"/>
      <w:szCs w:val="26"/>
    </w:rPr>
  </w:style>
  <w:style w:type="paragraph" w:styleId="Heading3">
    <w:name w:val="heading 3"/>
    <w:basedOn w:val="Normal"/>
    <w:next w:val="Normal"/>
    <w:link w:val="Heading3Char"/>
    <w:uiPriority w:val="9"/>
    <w:unhideWhenUsed/>
    <w:qFormat/>
    <w:rsid w:val="0039503D"/>
    <w:pPr>
      <w:keepNext/>
      <w:keepLines/>
      <w:spacing w:before="40" w:after="0"/>
      <w:outlineLvl w:val="2"/>
    </w:pPr>
    <w:rPr>
      <w:rFonts w:eastAsiaTheme="majorEastAsia" w:cs="Calibri"/>
      <w:b/>
      <w:color w:val="2F5496" w:themeColor="accent1" w:themeShade="BF"/>
      <w:sz w:val="26"/>
      <w:szCs w:val="24"/>
    </w:rPr>
  </w:style>
  <w:style w:type="paragraph" w:styleId="Heading4">
    <w:name w:val="heading 4"/>
    <w:basedOn w:val="Normal"/>
    <w:next w:val="Normal"/>
    <w:link w:val="Heading4Char"/>
    <w:uiPriority w:val="9"/>
    <w:unhideWhenUsed/>
    <w:qFormat/>
    <w:rsid w:val="002607B0"/>
    <w:pPr>
      <w:keepNext/>
      <w:keepLines/>
      <w:spacing w:before="40" w:after="0"/>
      <w:outlineLvl w:val="3"/>
    </w:pPr>
    <w:rPr>
      <w:rFonts w:eastAsiaTheme="majorEastAsia" w:cs="Calibr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D66"/>
    <w:rPr>
      <w:rFonts w:ascii="Circular Std Book" w:eastAsiaTheme="majorEastAsia" w:hAnsi="Circular Std Book" w:cs="Calibri"/>
      <w:b/>
      <w:color w:val="1F3864" w:themeColor="accent1" w:themeShade="80"/>
      <w:sz w:val="72"/>
      <w:szCs w:val="32"/>
    </w:rPr>
  </w:style>
  <w:style w:type="character" w:customStyle="1" w:styleId="Heading2Char">
    <w:name w:val="Heading 2 Char"/>
    <w:basedOn w:val="DefaultParagraphFont"/>
    <w:link w:val="Heading2"/>
    <w:uiPriority w:val="9"/>
    <w:rsid w:val="00CD2D66"/>
    <w:rPr>
      <w:rFonts w:ascii="Circular Std Book" w:eastAsiaTheme="majorEastAsia" w:hAnsi="Circular Std Book" w:cs="Calibri"/>
      <w:b/>
      <w:color w:val="1F3864" w:themeColor="accent1" w:themeShade="80"/>
      <w:sz w:val="32"/>
      <w:szCs w:val="26"/>
    </w:rPr>
  </w:style>
  <w:style w:type="character" w:customStyle="1" w:styleId="Heading3Char">
    <w:name w:val="Heading 3 Char"/>
    <w:basedOn w:val="DefaultParagraphFont"/>
    <w:link w:val="Heading3"/>
    <w:uiPriority w:val="9"/>
    <w:rsid w:val="0039503D"/>
    <w:rPr>
      <w:rFonts w:ascii="Circular Std Book" w:eastAsiaTheme="majorEastAsia" w:hAnsi="Circular Std Book" w:cs="Calibri"/>
      <w:b/>
      <w:color w:val="2F5496" w:themeColor="accent1" w:themeShade="BF"/>
      <w:sz w:val="26"/>
      <w:szCs w:val="24"/>
    </w:rPr>
  </w:style>
  <w:style w:type="character" w:customStyle="1" w:styleId="Heading4Char">
    <w:name w:val="Heading 4 Char"/>
    <w:basedOn w:val="DefaultParagraphFont"/>
    <w:link w:val="Heading4"/>
    <w:uiPriority w:val="9"/>
    <w:rsid w:val="002607B0"/>
    <w:rPr>
      <w:rFonts w:ascii="Circular Std Book" w:eastAsiaTheme="majorEastAsia" w:hAnsi="Circular Std Book" w:cs="Calibri"/>
      <w:b/>
      <w:iCs/>
      <w:color w:val="000000" w:themeColor="text1"/>
    </w:rPr>
  </w:style>
  <w:style w:type="paragraph" w:styleId="Title">
    <w:name w:val="Title"/>
    <w:basedOn w:val="Normal"/>
    <w:next w:val="Normal"/>
    <w:link w:val="TitleChar"/>
    <w:uiPriority w:val="10"/>
    <w:qFormat/>
    <w:rsid w:val="00BA366B"/>
    <w:pPr>
      <w:spacing w:after="0"/>
      <w:contextualSpacing/>
    </w:pPr>
    <w:rPr>
      <w:rFonts w:ascii="Calibri" w:eastAsiaTheme="majorEastAsia" w:hAnsi="Calibri" w:cs="Calibri"/>
      <w:b/>
      <w:color w:val="E65149"/>
      <w:spacing w:val="-10"/>
      <w:kern w:val="28"/>
      <w:sz w:val="56"/>
      <w:szCs w:val="56"/>
    </w:rPr>
  </w:style>
  <w:style w:type="character" w:customStyle="1" w:styleId="TitleChar">
    <w:name w:val="Title Char"/>
    <w:basedOn w:val="DefaultParagraphFont"/>
    <w:link w:val="Title"/>
    <w:uiPriority w:val="10"/>
    <w:rsid w:val="00BA366B"/>
    <w:rPr>
      <w:rFonts w:ascii="Calibri" w:eastAsiaTheme="majorEastAsia" w:hAnsi="Calibri" w:cs="Calibri"/>
      <w:b/>
      <w:color w:val="E65149"/>
      <w:spacing w:val="-10"/>
      <w:kern w:val="28"/>
      <w:sz w:val="56"/>
      <w:szCs w:val="56"/>
    </w:rPr>
  </w:style>
  <w:style w:type="paragraph" w:styleId="Header">
    <w:name w:val="header"/>
    <w:basedOn w:val="Normal"/>
    <w:link w:val="HeaderChar"/>
    <w:uiPriority w:val="99"/>
    <w:unhideWhenUsed/>
    <w:rsid w:val="005944C6"/>
    <w:pPr>
      <w:tabs>
        <w:tab w:val="center" w:pos="4513"/>
        <w:tab w:val="right" w:pos="9026"/>
      </w:tabs>
      <w:spacing w:after="0"/>
    </w:pPr>
  </w:style>
  <w:style w:type="character" w:customStyle="1" w:styleId="HeaderChar">
    <w:name w:val="Header Char"/>
    <w:basedOn w:val="DefaultParagraphFont"/>
    <w:link w:val="Header"/>
    <w:uiPriority w:val="99"/>
    <w:rsid w:val="005944C6"/>
  </w:style>
  <w:style w:type="paragraph" w:styleId="Footer">
    <w:name w:val="footer"/>
    <w:basedOn w:val="Normal"/>
    <w:link w:val="FooterChar"/>
    <w:uiPriority w:val="99"/>
    <w:unhideWhenUsed/>
    <w:rsid w:val="005944C6"/>
    <w:pPr>
      <w:tabs>
        <w:tab w:val="center" w:pos="4513"/>
        <w:tab w:val="right" w:pos="9026"/>
      </w:tabs>
      <w:spacing w:after="0"/>
    </w:pPr>
  </w:style>
  <w:style w:type="character" w:customStyle="1" w:styleId="FooterChar">
    <w:name w:val="Footer Char"/>
    <w:basedOn w:val="DefaultParagraphFont"/>
    <w:link w:val="Footer"/>
    <w:uiPriority w:val="99"/>
    <w:rsid w:val="005944C6"/>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BalloonText">
    <w:name w:val="Balloon Text"/>
    <w:basedOn w:val="Normal"/>
    <w:link w:val="BalloonTextChar"/>
    <w:uiPriority w:val="99"/>
    <w:semiHidden/>
    <w:unhideWhenUsed/>
    <w:rsid w:val="00A84C2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C29"/>
    <w:rPr>
      <w:rFonts w:ascii="Segoe UI" w:hAnsi="Segoe UI" w:cs="Segoe UI"/>
      <w:sz w:val="18"/>
      <w:szCs w:val="18"/>
    </w:rPr>
  </w:style>
  <w:style w:type="character" w:styleId="Hyperlink">
    <w:name w:val="Hyperlink"/>
    <w:basedOn w:val="DefaultParagraphFont"/>
    <w:uiPriority w:val="99"/>
    <w:unhideWhenUsed/>
    <w:rsid w:val="00A63A02"/>
    <w:rPr>
      <w:color w:val="0563C1" w:themeColor="hyperlink"/>
      <w:u w:val="single"/>
    </w:rPr>
  </w:style>
  <w:style w:type="paragraph" w:styleId="TOCHeading">
    <w:name w:val="TOC Heading"/>
    <w:basedOn w:val="Heading1"/>
    <w:next w:val="Normal"/>
    <w:uiPriority w:val="39"/>
    <w:unhideWhenUsed/>
    <w:qFormat/>
    <w:rsid w:val="00A63A02"/>
    <w:pPr>
      <w:outlineLvl w:val="9"/>
    </w:pPr>
    <w:rPr>
      <w:rFonts w:asciiTheme="majorHAnsi" w:hAnsiTheme="majorHAnsi" w:cstheme="majorBidi"/>
      <w:b w:val="0"/>
      <w:sz w:val="32"/>
      <w:lang w:val="en-US"/>
    </w:rPr>
  </w:style>
  <w:style w:type="paragraph" w:styleId="TOC1">
    <w:name w:val="toc 1"/>
    <w:basedOn w:val="Normal"/>
    <w:next w:val="Normal"/>
    <w:autoRedefine/>
    <w:uiPriority w:val="39"/>
    <w:unhideWhenUsed/>
    <w:rsid w:val="00E3066F"/>
    <w:pPr>
      <w:tabs>
        <w:tab w:val="right" w:leader="dot" w:pos="9740"/>
      </w:tabs>
      <w:spacing w:after="100"/>
    </w:pPr>
    <w:rPr>
      <w:rFonts w:ascii="Calibri" w:eastAsia="Calibri" w:hAnsi="Calibri" w:cs="Arial"/>
      <w:sz w:val="20"/>
      <w:szCs w:val="20"/>
      <w:lang w:val="en-GB"/>
    </w:rPr>
  </w:style>
  <w:style w:type="paragraph" w:styleId="TOC2">
    <w:name w:val="toc 2"/>
    <w:basedOn w:val="Normal"/>
    <w:next w:val="Normal"/>
    <w:autoRedefine/>
    <w:uiPriority w:val="39"/>
    <w:unhideWhenUsed/>
    <w:rsid w:val="00A63A02"/>
    <w:pPr>
      <w:spacing w:after="100"/>
      <w:ind w:left="200"/>
    </w:pPr>
    <w:rPr>
      <w:rFonts w:ascii="Calibri" w:eastAsia="Calibri" w:hAnsi="Calibri" w:cs="Arial"/>
      <w:sz w:val="20"/>
      <w:szCs w:val="20"/>
      <w:lang w:val="en-GB"/>
    </w:rPr>
  </w:style>
  <w:style w:type="paragraph" w:styleId="TOC3">
    <w:name w:val="toc 3"/>
    <w:basedOn w:val="Normal"/>
    <w:next w:val="Normal"/>
    <w:autoRedefine/>
    <w:uiPriority w:val="39"/>
    <w:unhideWhenUsed/>
    <w:rsid w:val="00417F92"/>
    <w:pPr>
      <w:spacing w:after="100"/>
      <w:ind w:left="440"/>
    </w:pPr>
  </w:style>
  <w:style w:type="character" w:styleId="CommentReference">
    <w:name w:val="annotation reference"/>
    <w:basedOn w:val="DefaultParagraphFont"/>
    <w:uiPriority w:val="99"/>
    <w:semiHidden/>
    <w:unhideWhenUsed/>
    <w:rsid w:val="00CD011E"/>
    <w:rPr>
      <w:sz w:val="16"/>
      <w:szCs w:val="16"/>
    </w:rPr>
  </w:style>
  <w:style w:type="paragraph" w:styleId="CommentText">
    <w:name w:val="annotation text"/>
    <w:basedOn w:val="Normal"/>
    <w:link w:val="CommentTextChar"/>
    <w:uiPriority w:val="99"/>
    <w:unhideWhenUsed/>
    <w:rsid w:val="00CD011E"/>
    <w:rPr>
      <w:sz w:val="20"/>
      <w:szCs w:val="20"/>
    </w:rPr>
  </w:style>
  <w:style w:type="character" w:customStyle="1" w:styleId="CommentTextChar">
    <w:name w:val="Comment Text Char"/>
    <w:basedOn w:val="DefaultParagraphFont"/>
    <w:link w:val="CommentText"/>
    <w:uiPriority w:val="99"/>
    <w:rsid w:val="00CD011E"/>
    <w:rPr>
      <w:sz w:val="20"/>
      <w:szCs w:val="20"/>
    </w:rPr>
  </w:style>
  <w:style w:type="paragraph" w:styleId="CommentSubject">
    <w:name w:val="annotation subject"/>
    <w:basedOn w:val="CommentText"/>
    <w:next w:val="CommentText"/>
    <w:link w:val="CommentSubjectChar"/>
    <w:uiPriority w:val="99"/>
    <w:semiHidden/>
    <w:unhideWhenUsed/>
    <w:rsid w:val="00CD011E"/>
    <w:rPr>
      <w:b/>
      <w:bCs/>
    </w:rPr>
  </w:style>
  <w:style w:type="character" w:customStyle="1" w:styleId="CommentSubjectChar">
    <w:name w:val="Comment Subject Char"/>
    <w:basedOn w:val="CommentTextChar"/>
    <w:link w:val="CommentSubject"/>
    <w:uiPriority w:val="99"/>
    <w:semiHidden/>
    <w:rsid w:val="00CD011E"/>
    <w:rPr>
      <w:b/>
      <w:bCs/>
      <w:sz w:val="20"/>
      <w:szCs w:val="20"/>
    </w:rPr>
  </w:style>
  <w:style w:type="paragraph" w:styleId="ListParagraph">
    <w:name w:val="List Paragraph"/>
    <w:aliases w:val="Bullet 3"/>
    <w:basedOn w:val="Normal"/>
    <w:link w:val="ListParagraphChar"/>
    <w:uiPriority w:val="34"/>
    <w:qFormat/>
    <w:rsid w:val="004A7F6B"/>
    <w:pPr>
      <w:spacing w:before="120"/>
      <w:ind w:left="720"/>
      <w:contextualSpacing/>
    </w:pPr>
    <w:rPr>
      <w:rFonts w:ascii="Rotis Sans Serif Std Light" w:hAnsi="Rotis Sans Serif Std Light"/>
      <w:color w:val="262626" w:themeColor="text1" w:themeTint="D9"/>
    </w:rPr>
  </w:style>
  <w:style w:type="character" w:customStyle="1" w:styleId="ListParagraphChar">
    <w:name w:val="List Paragraph Char"/>
    <w:aliases w:val="Bullet 3 Char"/>
    <w:link w:val="ListParagraph"/>
    <w:uiPriority w:val="34"/>
    <w:locked/>
    <w:rsid w:val="004A7F6B"/>
    <w:rPr>
      <w:rFonts w:ascii="Rotis Sans Serif Std Light" w:hAnsi="Rotis Sans Serif Std Light"/>
      <w:color w:val="262626" w:themeColor="text1" w:themeTint="D9"/>
      <w:sz w:val="24"/>
    </w:rPr>
  </w:style>
  <w:style w:type="paragraph" w:styleId="FootnoteText">
    <w:name w:val="footnote text"/>
    <w:basedOn w:val="Normal"/>
    <w:link w:val="FootnoteTextChar"/>
    <w:unhideWhenUsed/>
    <w:rsid w:val="00F61477"/>
    <w:pPr>
      <w:spacing w:before="120" w:after="0"/>
    </w:pPr>
    <w:rPr>
      <w:rFonts w:ascii="Rotis Sans Serif Std Light" w:hAnsi="Rotis Sans Serif Std Light"/>
      <w:color w:val="262626" w:themeColor="text1" w:themeTint="D9"/>
      <w:sz w:val="20"/>
      <w:szCs w:val="20"/>
    </w:rPr>
  </w:style>
  <w:style w:type="character" w:customStyle="1" w:styleId="FootnoteTextChar">
    <w:name w:val="Footnote Text Char"/>
    <w:basedOn w:val="DefaultParagraphFont"/>
    <w:link w:val="FootnoteText"/>
    <w:rsid w:val="00F61477"/>
    <w:rPr>
      <w:rFonts w:ascii="Rotis Sans Serif Std Light" w:hAnsi="Rotis Sans Serif Std Light"/>
      <w:color w:val="262626" w:themeColor="text1" w:themeTint="D9"/>
      <w:sz w:val="20"/>
      <w:szCs w:val="20"/>
    </w:rPr>
  </w:style>
  <w:style w:type="character" w:styleId="FootnoteReference">
    <w:name w:val="footnote reference"/>
    <w:basedOn w:val="DefaultParagraphFont"/>
    <w:unhideWhenUsed/>
    <w:rsid w:val="00F61477"/>
    <w:rPr>
      <w:vertAlign w:val="superscript"/>
    </w:rPr>
  </w:style>
  <w:style w:type="table" w:styleId="TableGrid">
    <w:name w:val="Table Grid"/>
    <w:basedOn w:val="TableNormal"/>
    <w:uiPriority w:val="39"/>
    <w:rsid w:val="00432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3FA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4742E"/>
    <w:pPr>
      <w:spacing w:before="100" w:beforeAutospacing="1" w:after="100" w:afterAutospacing="1"/>
    </w:pPr>
    <w:rPr>
      <w:rFonts w:ascii="Times New Roman" w:eastAsiaTheme="minorEastAsia" w:hAnsi="Times New Roman" w:cs="Times New Roman"/>
      <w:szCs w:val="24"/>
      <w:lang w:eastAsia="en-AU"/>
    </w:rPr>
  </w:style>
  <w:style w:type="paragraph" w:styleId="Caption">
    <w:name w:val="caption"/>
    <w:basedOn w:val="Normal"/>
    <w:next w:val="Normal"/>
    <w:uiPriority w:val="35"/>
    <w:unhideWhenUsed/>
    <w:qFormat/>
    <w:rsid w:val="004010D0"/>
    <w:pPr>
      <w:spacing w:after="200"/>
    </w:pPr>
    <w:rPr>
      <w:i/>
      <w:iCs/>
      <w:color w:val="44546A" w:themeColor="text2"/>
      <w:sz w:val="18"/>
      <w:szCs w:val="18"/>
    </w:rPr>
  </w:style>
  <w:style w:type="paragraph" w:styleId="NoSpacing">
    <w:name w:val="No Spacing"/>
    <w:uiPriority w:val="1"/>
    <w:qFormat/>
    <w:rsid w:val="004010D0"/>
    <w:pPr>
      <w:spacing w:after="0" w:line="240" w:lineRule="auto"/>
    </w:pPr>
  </w:style>
  <w:style w:type="character" w:styleId="UnresolvedMention">
    <w:name w:val="Unresolved Mention"/>
    <w:basedOn w:val="DefaultParagraphFont"/>
    <w:uiPriority w:val="99"/>
    <w:semiHidden/>
    <w:unhideWhenUsed/>
    <w:rsid w:val="00357DB9"/>
    <w:rPr>
      <w:color w:val="605E5C"/>
      <w:shd w:val="clear" w:color="auto" w:fill="E1DFDD"/>
    </w:rPr>
  </w:style>
  <w:style w:type="paragraph" w:styleId="BodyText">
    <w:name w:val="Body Text"/>
    <w:basedOn w:val="Normal"/>
    <w:link w:val="BodyTextChar"/>
    <w:autoRedefine/>
    <w:uiPriority w:val="1"/>
    <w:qFormat/>
    <w:rsid w:val="00BE2883"/>
    <w:pPr>
      <w:widowControl w:val="0"/>
      <w:autoSpaceDE w:val="0"/>
      <w:autoSpaceDN w:val="0"/>
      <w:spacing w:before="22" w:after="0"/>
      <w:ind w:left="100" w:right="142"/>
    </w:pPr>
    <w:rPr>
      <w:rFonts w:eastAsia="Calibri" w:cs="Calibri"/>
      <w:lang w:val="en-US"/>
    </w:rPr>
  </w:style>
  <w:style w:type="character" w:customStyle="1" w:styleId="BodyTextChar">
    <w:name w:val="Body Text Char"/>
    <w:basedOn w:val="DefaultParagraphFont"/>
    <w:link w:val="BodyText"/>
    <w:uiPriority w:val="1"/>
    <w:rsid w:val="00BE2883"/>
    <w:rPr>
      <w:rFonts w:ascii="Arial" w:eastAsia="Calibri" w:hAnsi="Arial" w:cs="Calibri"/>
      <w:sz w:val="24"/>
      <w:lang w:val="en-US"/>
    </w:rPr>
  </w:style>
  <w:style w:type="paragraph" w:styleId="ListBullet">
    <w:name w:val="List Bullet"/>
    <w:basedOn w:val="BodyText"/>
    <w:link w:val="ListBulletChar"/>
    <w:autoRedefine/>
    <w:qFormat/>
    <w:rsid w:val="003D3882"/>
    <w:pPr>
      <w:widowControl/>
      <w:autoSpaceDE/>
      <w:autoSpaceDN/>
      <w:spacing w:after="60" w:line="218" w:lineRule="auto"/>
    </w:pPr>
    <w:rPr>
      <w:rFonts w:eastAsia="Times New Roman" w:cs="Times New Roman"/>
      <w:color w:val="000000" w:themeColor="text1"/>
      <w:kern w:val="21"/>
      <w:sz w:val="20"/>
      <w:szCs w:val="16"/>
    </w:rPr>
  </w:style>
  <w:style w:type="character" w:customStyle="1" w:styleId="ListBulletChar">
    <w:name w:val="List Bullet Char"/>
    <w:basedOn w:val="BodyTextChar"/>
    <w:link w:val="ListBullet"/>
    <w:rsid w:val="003D3882"/>
    <w:rPr>
      <w:rFonts w:ascii="Calibri" w:eastAsia="Times New Roman" w:hAnsi="Calibri" w:cs="Times New Roman"/>
      <w:color w:val="000000" w:themeColor="text1"/>
      <w:kern w:val="21"/>
      <w:sz w:val="20"/>
      <w:szCs w:val="16"/>
      <w:lang w:val="en-US"/>
    </w:rPr>
  </w:style>
  <w:style w:type="paragraph" w:styleId="TOC4">
    <w:name w:val="toc 4"/>
    <w:basedOn w:val="Normal"/>
    <w:next w:val="Normal"/>
    <w:autoRedefine/>
    <w:uiPriority w:val="39"/>
    <w:unhideWhenUsed/>
    <w:rsid w:val="00803F28"/>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803F28"/>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803F28"/>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803F28"/>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803F28"/>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803F28"/>
    <w:pPr>
      <w:spacing w:after="100" w:line="259" w:lineRule="auto"/>
      <w:ind w:left="1760"/>
    </w:pPr>
    <w:rPr>
      <w:rFonts w:eastAsiaTheme="minorEastAsia"/>
      <w:lang w:eastAsia="en-AU"/>
    </w:rPr>
  </w:style>
  <w:style w:type="paragraph" w:customStyle="1" w:styleId="TableParagraph">
    <w:name w:val="Table Paragraph"/>
    <w:basedOn w:val="Normal"/>
    <w:uiPriority w:val="1"/>
    <w:qFormat/>
    <w:rsid w:val="006825CF"/>
    <w:pPr>
      <w:widowControl w:val="0"/>
      <w:autoSpaceDE w:val="0"/>
      <w:autoSpaceDN w:val="0"/>
      <w:spacing w:after="0"/>
    </w:pPr>
    <w:rPr>
      <w:rFonts w:ascii="Calibri" w:eastAsia="Calibri" w:hAnsi="Calibri" w:cs="Calibri"/>
      <w:lang w:val="en-US"/>
    </w:rPr>
  </w:style>
  <w:style w:type="table" w:styleId="ColorfulList-Accent3">
    <w:name w:val="Colorful List Accent 3"/>
    <w:basedOn w:val="TableNormal"/>
    <w:uiPriority w:val="72"/>
    <w:semiHidden/>
    <w:rsid w:val="002145A7"/>
    <w:pPr>
      <w:spacing w:after="0" w:line="240" w:lineRule="auto"/>
    </w:pPr>
    <w:rPr>
      <w:rFonts w:eastAsia="Times New Roman" w:cs="Times New Roman"/>
      <w:color w:val="000000" w:themeColor="text1"/>
      <w:sz w:val="21"/>
      <w:szCs w:val="21"/>
      <w:lang w:eastAsia="en-AU"/>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paragraph" w:customStyle="1" w:styleId="ng-star-inserted">
    <w:name w:val="ng-star-inserted"/>
    <w:basedOn w:val="Normal"/>
    <w:rsid w:val="00EF41D7"/>
    <w:pPr>
      <w:spacing w:before="100" w:beforeAutospacing="1" w:after="100" w:afterAutospacing="1"/>
    </w:pPr>
    <w:rPr>
      <w:rFonts w:ascii="Times New Roman" w:eastAsia="Times New Roman" w:hAnsi="Times New Roman" w:cs="Times New Roman"/>
      <w:szCs w:val="24"/>
      <w:lang w:eastAsia="en-AU"/>
    </w:rPr>
  </w:style>
  <w:style w:type="paragraph" w:styleId="Quote">
    <w:name w:val="Quote"/>
    <w:basedOn w:val="Normal"/>
    <w:next w:val="Normal"/>
    <w:link w:val="QuoteChar"/>
    <w:uiPriority w:val="29"/>
    <w:qFormat/>
    <w:rsid w:val="00EB555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B5558"/>
    <w:rPr>
      <w:i/>
      <w:iCs/>
      <w:color w:val="404040" w:themeColor="text1" w:themeTint="BF"/>
    </w:rPr>
  </w:style>
  <w:style w:type="character" w:styleId="FollowedHyperlink">
    <w:name w:val="FollowedHyperlink"/>
    <w:basedOn w:val="DefaultParagraphFont"/>
    <w:uiPriority w:val="99"/>
    <w:semiHidden/>
    <w:unhideWhenUsed/>
    <w:rsid w:val="00C51CCC"/>
    <w:rPr>
      <w:color w:val="954F72" w:themeColor="followedHyperlink"/>
      <w:u w:val="single"/>
    </w:rPr>
  </w:style>
  <w:style w:type="paragraph" w:customStyle="1" w:styleId="dhhsbody">
    <w:name w:val="dhhsbody"/>
    <w:basedOn w:val="Normal"/>
    <w:rsid w:val="00A57363"/>
    <w:pPr>
      <w:spacing w:before="100" w:beforeAutospacing="1" w:after="100" w:afterAutospacing="1"/>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773623"/>
    <w:rPr>
      <w:b/>
      <w:bCs/>
    </w:rPr>
  </w:style>
  <w:style w:type="character" w:customStyle="1" w:styleId="ItalicText">
    <w:name w:val="Italic Text"/>
    <w:qFormat/>
    <w:rsid w:val="00F5144E"/>
    <w:rPr>
      <w:rFonts w:ascii="Arial" w:hAnsi="Arial"/>
      <w:i/>
      <w:sz w:val="20"/>
    </w:rPr>
  </w:style>
  <w:style w:type="character" w:styleId="HTMLCite">
    <w:name w:val="HTML Cite"/>
    <w:basedOn w:val="DefaultParagraphFont"/>
    <w:uiPriority w:val="99"/>
    <w:semiHidden/>
    <w:unhideWhenUsed/>
    <w:rsid w:val="00A62A5D"/>
    <w:rPr>
      <w:i/>
      <w:iCs/>
    </w:rPr>
  </w:style>
  <w:style w:type="character" w:customStyle="1" w:styleId="field">
    <w:name w:val="field"/>
    <w:basedOn w:val="DefaultParagraphFont"/>
    <w:rsid w:val="00A62A5D"/>
  </w:style>
  <w:style w:type="paragraph" w:customStyle="1" w:styleId="meta">
    <w:name w:val="meta"/>
    <w:basedOn w:val="Normal"/>
    <w:rsid w:val="00A62A5D"/>
    <w:pPr>
      <w:spacing w:before="100" w:beforeAutospacing="1" w:after="100" w:afterAutospacing="1"/>
    </w:pPr>
    <w:rPr>
      <w:rFonts w:ascii="Times New Roman" w:eastAsia="Times New Roman" w:hAnsi="Times New Roman" w:cs="Times New Roman"/>
      <w:szCs w:val="24"/>
      <w:lang w:eastAsia="en-AU"/>
    </w:rPr>
  </w:style>
  <w:style w:type="character" w:customStyle="1" w:styleId="updated">
    <w:name w:val="updated"/>
    <w:basedOn w:val="DefaultParagraphFont"/>
    <w:rsid w:val="00F964DA"/>
  </w:style>
  <w:style w:type="paragraph" w:customStyle="1" w:styleId="elementor-icon-list-item">
    <w:name w:val="elementor-icon-list-item"/>
    <w:basedOn w:val="Normal"/>
    <w:rsid w:val="00382BDD"/>
    <w:pPr>
      <w:spacing w:before="100" w:beforeAutospacing="1" w:after="100" w:afterAutospacing="1"/>
    </w:pPr>
    <w:rPr>
      <w:rFonts w:ascii="Times New Roman" w:eastAsia="Times New Roman" w:hAnsi="Times New Roman" w:cs="Times New Roman"/>
      <w:szCs w:val="24"/>
      <w:lang w:eastAsia="en-AU"/>
    </w:rPr>
  </w:style>
  <w:style w:type="character" w:customStyle="1" w:styleId="elementor-icon-list-text">
    <w:name w:val="elementor-icon-list-text"/>
    <w:basedOn w:val="DefaultParagraphFont"/>
    <w:rsid w:val="00382BDD"/>
  </w:style>
  <w:style w:type="paragraph" w:styleId="ListBullet2">
    <w:name w:val="List Bullet 2"/>
    <w:basedOn w:val="Normal"/>
    <w:uiPriority w:val="99"/>
    <w:semiHidden/>
    <w:unhideWhenUsed/>
    <w:rsid w:val="00434D23"/>
    <w:pPr>
      <w:numPr>
        <w:numId w:val="21"/>
      </w:numPr>
      <w:contextualSpacing/>
    </w:pPr>
  </w:style>
  <w:style w:type="paragraph" w:styleId="Revision">
    <w:name w:val="Revision"/>
    <w:hidden/>
    <w:uiPriority w:val="99"/>
    <w:semiHidden/>
    <w:rsid w:val="005E5F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32840">
      <w:bodyDiv w:val="1"/>
      <w:marLeft w:val="0"/>
      <w:marRight w:val="0"/>
      <w:marTop w:val="0"/>
      <w:marBottom w:val="0"/>
      <w:divBdr>
        <w:top w:val="none" w:sz="0" w:space="0" w:color="auto"/>
        <w:left w:val="none" w:sz="0" w:space="0" w:color="auto"/>
        <w:bottom w:val="none" w:sz="0" w:space="0" w:color="auto"/>
        <w:right w:val="none" w:sz="0" w:space="0" w:color="auto"/>
      </w:divBdr>
    </w:div>
    <w:div w:id="105931442">
      <w:bodyDiv w:val="1"/>
      <w:marLeft w:val="0"/>
      <w:marRight w:val="0"/>
      <w:marTop w:val="0"/>
      <w:marBottom w:val="0"/>
      <w:divBdr>
        <w:top w:val="none" w:sz="0" w:space="0" w:color="auto"/>
        <w:left w:val="none" w:sz="0" w:space="0" w:color="auto"/>
        <w:bottom w:val="none" w:sz="0" w:space="0" w:color="auto"/>
        <w:right w:val="none" w:sz="0" w:space="0" w:color="auto"/>
      </w:divBdr>
    </w:div>
    <w:div w:id="114298156">
      <w:bodyDiv w:val="1"/>
      <w:marLeft w:val="0"/>
      <w:marRight w:val="0"/>
      <w:marTop w:val="0"/>
      <w:marBottom w:val="0"/>
      <w:divBdr>
        <w:top w:val="none" w:sz="0" w:space="0" w:color="auto"/>
        <w:left w:val="none" w:sz="0" w:space="0" w:color="auto"/>
        <w:bottom w:val="none" w:sz="0" w:space="0" w:color="auto"/>
        <w:right w:val="none" w:sz="0" w:space="0" w:color="auto"/>
      </w:divBdr>
    </w:div>
    <w:div w:id="158926290">
      <w:bodyDiv w:val="1"/>
      <w:marLeft w:val="0"/>
      <w:marRight w:val="0"/>
      <w:marTop w:val="0"/>
      <w:marBottom w:val="0"/>
      <w:divBdr>
        <w:top w:val="none" w:sz="0" w:space="0" w:color="auto"/>
        <w:left w:val="none" w:sz="0" w:space="0" w:color="auto"/>
        <w:bottom w:val="none" w:sz="0" w:space="0" w:color="auto"/>
        <w:right w:val="none" w:sz="0" w:space="0" w:color="auto"/>
      </w:divBdr>
    </w:div>
    <w:div w:id="185364071">
      <w:bodyDiv w:val="1"/>
      <w:marLeft w:val="0"/>
      <w:marRight w:val="0"/>
      <w:marTop w:val="0"/>
      <w:marBottom w:val="0"/>
      <w:divBdr>
        <w:top w:val="none" w:sz="0" w:space="0" w:color="auto"/>
        <w:left w:val="none" w:sz="0" w:space="0" w:color="auto"/>
        <w:bottom w:val="none" w:sz="0" w:space="0" w:color="auto"/>
        <w:right w:val="none" w:sz="0" w:space="0" w:color="auto"/>
      </w:divBdr>
    </w:div>
    <w:div w:id="201401579">
      <w:bodyDiv w:val="1"/>
      <w:marLeft w:val="0"/>
      <w:marRight w:val="0"/>
      <w:marTop w:val="0"/>
      <w:marBottom w:val="0"/>
      <w:divBdr>
        <w:top w:val="none" w:sz="0" w:space="0" w:color="auto"/>
        <w:left w:val="none" w:sz="0" w:space="0" w:color="auto"/>
        <w:bottom w:val="none" w:sz="0" w:space="0" w:color="auto"/>
        <w:right w:val="none" w:sz="0" w:space="0" w:color="auto"/>
      </w:divBdr>
    </w:div>
    <w:div w:id="211236103">
      <w:bodyDiv w:val="1"/>
      <w:marLeft w:val="0"/>
      <w:marRight w:val="0"/>
      <w:marTop w:val="0"/>
      <w:marBottom w:val="0"/>
      <w:divBdr>
        <w:top w:val="none" w:sz="0" w:space="0" w:color="auto"/>
        <w:left w:val="none" w:sz="0" w:space="0" w:color="auto"/>
        <w:bottom w:val="none" w:sz="0" w:space="0" w:color="auto"/>
        <w:right w:val="none" w:sz="0" w:space="0" w:color="auto"/>
      </w:divBdr>
    </w:div>
    <w:div w:id="213201456">
      <w:bodyDiv w:val="1"/>
      <w:marLeft w:val="0"/>
      <w:marRight w:val="0"/>
      <w:marTop w:val="0"/>
      <w:marBottom w:val="0"/>
      <w:divBdr>
        <w:top w:val="none" w:sz="0" w:space="0" w:color="auto"/>
        <w:left w:val="none" w:sz="0" w:space="0" w:color="auto"/>
        <w:bottom w:val="none" w:sz="0" w:space="0" w:color="auto"/>
        <w:right w:val="none" w:sz="0" w:space="0" w:color="auto"/>
      </w:divBdr>
    </w:div>
    <w:div w:id="272982290">
      <w:bodyDiv w:val="1"/>
      <w:marLeft w:val="0"/>
      <w:marRight w:val="0"/>
      <w:marTop w:val="0"/>
      <w:marBottom w:val="0"/>
      <w:divBdr>
        <w:top w:val="none" w:sz="0" w:space="0" w:color="auto"/>
        <w:left w:val="none" w:sz="0" w:space="0" w:color="auto"/>
        <w:bottom w:val="none" w:sz="0" w:space="0" w:color="auto"/>
        <w:right w:val="none" w:sz="0" w:space="0" w:color="auto"/>
      </w:divBdr>
    </w:div>
    <w:div w:id="280961750">
      <w:bodyDiv w:val="1"/>
      <w:marLeft w:val="0"/>
      <w:marRight w:val="0"/>
      <w:marTop w:val="0"/>
      <w:marBottom w:val="0"/>
      <w:divBdr>
        <w:top w:val="none" w:sz="0" w:space="0" w:color="auto"/>
        <w:left w:val="none" w:sz="0" w:space="0" w:color="auto"/>
        <w:bottom w:val="none" w:sz="0" w:space="0" w:color="auto"/>
        <w:right w:val="none" w:sz="0" w:space="0" w:color="auto"/>
      </w:divBdr>
    </w:div>
    <w:div w:id="289089030">
      <w:bodyDiv w:val="1"/>
      <w:marLeft w:val="0"/>
      <w:marRight w:val="0"/>
      <w:marTop w:val="0"/>
      <w:marBottom w:val="0"/>
      <w:divBdr>
        <w:top w:val="none" w:sz="0" w:space="0" w:color="auto"/>
        <w:left w:val="none" w:sz="0" w:space="0" w:color="auto"/>
        <w:bottom w:val="none" w:sz="0" w:space="0" w:color="auto"/>
        <w:right w:val="none" w:sz="0" w:space="0" w:color="auto"/>
      </w:divBdr>
      <w:divsChild>
        <w:div w:id="1930044722">
          <w:marLeft w:val="0"/>
          <w:marRight w:val="0"/>
          <w:marTop w:val="0"/>
          <w:marBottom w:val="0"/>
          <w:divBdr>
            <w:top w:val="none" w:sz="0" w:space="0" w:color="auto"/>
            <w:left w:val="none" w:sz="0" w:space="0" w:color="auto"/>
            <w:bottom w:val="none" w:sz="0" w:space="0" w:color="auto"/>
            <w:right w:val="none" w:sz="0" w:space="0" w:color="auto"/>
          </w:divBdr>
          <w:divsChild>
            <w:div w:id="4404166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00309627">
      <w:bodyDiv w:val="1"/>
      <w:marLeft w:val="0"/>
      <w:marRight w:val="0"/>
      <w:marTop w:val="0"/>
      <w:marBottom w:val="0"/>
      <w:divBdr>
        <w:top w:val="none" w:sz="0" w:space="0" w:color="auto"/>
        <w:left w:val="none" w:sz="0" w:space="0" w:color="auto"/>
        <w:bottom w:val="none" w:sz="0" w:space="0" w:color="auto"/>
        <w:right w:val="none" w:sz="0" w:space="0" w:color="auto"/>
      </w:divBdr>
    </w:div>
    <w:div w:id="301890808">
      <w:bodyDiv w:val="1"/>
      <w:marLeft w:val="0"/>
      <w:marRight w:val="0"/>
      <w:marTop w:val="0"/>
      <w:marBottom w:val="0"/>
      <w:divBdr>
        <w:top w:val="none" w:sz="0" w:space="0" w:color="auto"/>
        <w:left w:val="none" w:sz="0" w:space="0" w:color="auto"/>
        <w:bottom w:val="none" w:sz="0" w:space="0" w:color="auto"/>
        <w:right w:val="none" w:sz="0" w:space="0" w:color="auto"/>
      </w:divBdr>
    </w:div>
    <w:div w:id="364672936">
      <w:bodyDiv w:val="1"/>
      <w:marLeft w:val="0"/>
      <w:marRight w:val="0"/>
      <w:marTop w:val="0"/>
      <w:marBottom w:val="0"/>
      <w:divBdr>
        <w:top w:val="none" w:sz="0" w:space="0" w:color="auto"/>
        <w:left w:val="none" w:sz="0" w:space="0" w:color="auto"/>
        <w:bottom w:val="none" w:sz="0" w:space="0" w:color="auto"/>
        <w:right w:val="none" w:sz="0" w:space="0" w:color="auto"/>
      </w:divBdr>
    </w:div>
    <w:div w:id="366877845">
      <w:bodyDiv w:val="1"/>
      <w:marLeft w:val="0"/>
      <w:marRight w:val="0"/>
      <w:marTop w:val="0"/>
      <w:marBottom w:val="0"/>
      <w:divBdr>
        <w:top w:val="none" w:sz="0" w:space="0" w:color="auto"/>
        <w:left w:val="none" w:sz="0" w:space="0" w:color="auto"/>
        <w:bottom w:val="none" w:sz="0" w:space="0" w:color="auto"/>
        <w:right w:val="none" w:sz="0" w:space="0" w:color="auto"/>
      </w:divBdr>
    </w:div>
    <w:div w:id="383985155">
      <w:bodyDiv w:val="1"/>
      <w:marLeft w:val="0"/>
      <w:marRight w:val="0"/>
      <w:marTop w:val="0"/>
      <w:marBottom w:val="0"/>
      <w:divBdr>
        <w:top w:val="none" w:sz="0" w:space="0" w:color="auto"/>
        <w:left w:val="none" w:sz="0" w:space="0" w:color="auto"/>
        <w:bottom w:val="none" w:sz="0" w:space="0" w:color="auto"/>
        <w:right w:val="none" w:sz="0" w:space="0" w:color="auto"/>
      </w:divBdr>
    </w:div>
    <w:div w:id="411898399">
      <w:bodyDiv w:val="1"/>
      <w:marLeft w:val="0"/>
      <w:marRight w:val="0"/>
      <w:marTop w:val="0"/>
      <w:marBottom w:val="0"/>
      <w:divBdr>
        <w:top w:val="none" w:sz="0" w:space="0" w:color="auto"/>
        <w:left w:val="none" w:sz="0" w:space="0" w:color="auto"/>
        <w:bottom w:val="none" w:sz="0" w:space="0" w:color="auto"/>
        <w:right w:val="none" w:sz="0" w:space="0" w:color="auto"/>
      </w:divBdr>
    </w:div>
    <w:div w:id="552469240">
      <w:bodyDiv w:val="1"/>
      <w:marLeft w:val="0"/>
      <w:marRight w:val="0"/>
      <w:marTop w:val="0"/>
      <w:marBottom w:val="0"/>
      <w:divBdr>
        <w:top w:val="none" w:sz="0" w:space="0" w:color="auto"/>
        <w:left w:val="none" w:sz="0" w:space="0" w:color="auto"/>
        <w:bottom w:val="none" w:sz="0" w:space="0" w:color="auto"/>
        <w:right w:val="none" w:sz="0" w:space="0" w:color="auto"/>
      </w:divBdr>
    </w:div>
    <w:div w:id="593124931">
      <w:bodyDiv w:val="1"/>
      <w:marLeft w:val="0"/>
      <w:marRight w:val="0"/>
      <w:marTop w:val="0"/>
      <w:marBottom w:val="0"/>
      <w:divBdr>
        <w:top w:val="none" w:sz="0" w:space="0" w:color="auto"/>
        <w:left w:val="none" w:sz="0" w:space="0" w:color="auto"/>
        <w:bottom w:val="none" w:sz="0" w:space="0" w:color="auto"/>
        <w:right w:val="none" w:sz="0" w:space="0" w:color="auto"/>
      </w:divBdr>
    </w:div>
    <w:div w:id="606545289">
      <w:bodyDiv w:val="1"/>
      <w:marLeft w:val="0"/>
      <w:marRight w:val="0"/>
      <w:marTop w:val="0"/>
      <w:marBottom w:val="0"/>
      <w:divBdr>
        <w:top w:val="none" w:sz="0" w:space="0" w:color="auto"/>
        <w:left w:val="none" w:sz="0" w:space="0" w:color="auto"/>
        <w:bottom w:val="none" w:sz="0" w:space="0" w:color="auto"/>
        <w:right w:val="none" w:sz="0" w:space="0" w:color="auto"/>
      </w:divBdr>
    </w:div>
    <w:div w:id="614138383">
      <w:bodyDiv w:val="1"/>
      <w:marLeft w:val="0"/>
      <w:marRight w:val="0"/>
      <w:marTop w:val="0"/>
      <w:marBottom w:val="0"/>
      <w:divBdr>
        <w:top w:val="none" w:sz="0" w:space="0" w:color="auto"/>
        <w:left w:val="none" w:sz="0" w:space="0" w:color="auto"/>
        <w:bottom w:val="none" w:sz="0" w:space="0" w:color="auto"/>
        <w:right w:val="none" w:sz="0" w:space="0" w:color="auto"/>
      </w:divBdr>
    </w:div>
    <w:div w:id="693532129">
      <w:bodyDiv w:val="1"/>
      <w:marLeft w:val="0"/>
      <w:marRight w:val="0"/>
      <w:marTop w:val="0"/>
      <w:marBottom w:val="0"/>
      <w:divBdr>
        <w:top w:val="none" w:sz="0" w:space="0" w:color="auto"/>
        <w:left w:val="none" w:sz="0" w:space="0" w:color="auto"/>
        <w:bottom w:val="none" w:sz="0" w:space="0" w:color="auto"/>
        <w:right w:val="none" w:sz="0" w:space="0" w:color="auto"/>
      </w:divBdr>
    </w:div>
    <w:div w:id="711461941">
      <w:bodyDiv w:val="1"/>
      <w:marLeft w:val="0"/>
      <w:marRight w:val="0"/>
      <w:marTop w:val="0"/>
      <w:marBottom w:val="0"/>
      <w:divBdr>
        <w:top w:val="none" w:sz="0" w:space="0" w:color="auto"/>
        <w:left w:val="none" w:sz="0" w:space="0" w:color="auto"/>
        <w:bottom w:val="none" w:sz="0" w:space="0" w:color="auto"/>
        <w:right w:val="none" w:sz="0" w:space="0" w:color="auto"/>
      </w:divBdr>
    </w:div>
    <w:div w:id="741026839">
      <w:bodyDiv w:val="1"/>
      <w:marLeft w:val="0"/>
      <w:marRight w:val="0"/>
      <w:marTop w:val="0"/>
      <w:marBottom w:val="0"/>
      <w:divBdr>
        <w:top w:val="none" w:sz="0" w:space="0" w:color="auto"/>
        <w:left w:val="none" w:sz="0" w:space="0" w:color="auto"/>
        <w:bottom w:val="none" w:sz="0" w:space="0" w:color="auto"/>
        <w:right w:val="none" w:sz="0" w:space="0" w:color="auto"/>
      </w:divBdr>
    </w:div>
    <w:div w:id="742067786">
      <w:bodyDiv w:val="1"/>
      <w:marLeft w:val="0"/>
      <w:marRight w:val="0"/>
      <w:marTop w:val="0"/>
      <w:marBottom w:val="0"/>
      <w:divBdr>
        <w:top w:val="none" w:sz="0" w:space="0" w:color="auto"/>
        <w:left w:val="none" w:sz="0" w:space="0" w:color="auto"/>
        <w:bottom w:val="none" w:sz="0" w:space="0" w:color="auto"/>
        <w:right w:val="none" w:sz="0" w:space="0" w:color="auto"/>
      </w:divBdr>
    </w:div>
    <w:div w:id="754790482">
      <w:bodyDiv w:val="1"/>
      <w:marLeft w:val="0"/>
      <w:marRight w:val="0"/>
      <w:marTop w:val="0"/>
      <w:marBottom w:val="0"/>
      <w:divBdr>
        <w:top w:val="none" w:sz="0" w:space="0" w:color="auto"/>
        <w:left w:val="none" w:sz="0" w:space="0" w:color="auto"/>
        <w:bottom w:val="none" w:sz="0" w:space="0" w:color="auto"/>
        <w:right w:val="none" w:sz="0" w:space="0" w:color="auto"/>
      </w:divBdr>
    </w:div>
    <w:div w:id="767624857">
      <w:bodyDiv w:val="1"/>
      <w:marLeft w:val="0"/>
      <w:marRight w:val="0"/>
      <w:marTop w:val="0"/>
      <w:marBottom w:val="0"/>
      <w:divBdr>
        <w:top w:val="none" w:sz="0" w:space="0" w:color="auto"/>
        <w:left w:val="none" w:sz="0" w:space="0" w:color="auto"/>
        <w:bottom w:val="none" w:sz="0" w:space="0" w:color="auto"/>
        <w:right w:val="none" w:sz="0" w:space="0" w:color="auto"/>
      </w:divBdr>
    </w:div>
    <w:div w:id="770008028">
      <w:bodyDiv w:val="1"/>
      <w:marLeft w:val="0"/>
      <w:marRight w:val="0"/>
      <w:marTop w:val="0"/>
      <w:marBottom w:val="0"/>
      <w:divBdr>
        <w:top w:val="none" w:sz="0" w:space="0" w:color="auto"/>
        <w:left w:val="none" w:sz="0" w:space="0" w:color="auto"/>
        <w:bottom w:val="none" w:sz="0" w:space="0" w:color="auto"/>
        <w:right w:val="none" w:sz="0" w:space="0" w:color="auto"/>
      </w:divBdr>
    </w:div>
    <w:div w:id="903954869">
      <w:bodyDiv w:val="1"/>
      <w:marLeft w:val="0"/>
      <w:marRight w:val="0"/>
      <w:marTop w:val="0"/>
      <w:marBottom w:val="0"/>
      <w:divBdr>
        <w:top w:val="none" w:sz="0" w:space="0" w:color="auto"/>
        <w:left w:val="none" w:sz="0" w:space="0" w:color="auto"/>
        <w:bottom w:val="none" w:sz="0" w:space="0" w:color="auto"/>
        <w:right w:val="none" w:sz="0" w:space="0" w:color="auto"/>
      </w:divBdr>
    </w:div>
    <w:div w:id="914170168">
      <w:bodyDiv w:val="1"/>
      <w:marLeft w:val="0"/>
      <w:marRight w:val="0"/>
      <w:marTop w:val="0"/>
      <w:marBottom w:val="0"/>
      <w:divBdr>
        <w:top w:val="none" w:sz="0" w:space="0" w:color="auto"/>
        <w:left w:val="none" w:sz="0" w:space="0" w:color="auto"/>
        <w:bottom w:val="none" w:sz="0" w:space="0" w:color="auto"/>
        <w:right w:val="none" w:sz="0" w:space="0" w:color="auto"/>
      </w:divBdr>
    </w:div>
    <w:div w:id="942959620">
      <w:bodyDiv w:val="1"/>
      <w:marLeft w:val="0"/>
      <w:marRight w:val="0"/>
      <w:marTop w:val="0"/>
      <w:marBottom w:val="0"/>
      <w:divBdr>
        <w:top w:val="none" w:sz="0" w:space="0" w:color="auto"/>
        <w:left w:val="none" w:sz="0" w:space="0" w:color="auto"/>
        <w:bottom w:val="none" w:sz="0" w:space="0" w:color="auto"/>
        <w:right w:val="none" w:sz="0" w:space="0" w:color="auto"/>
      </w:divBdr>
    </w:div>
    <w:div w:id="988942802">
      <w:bodyDiv w:val="1"/>
      <w:marLeft w:val="0"/>
      <w:marRight w:val="0"/>
      <w:marTop w:val="0"/>
      <w:marBottom w:val="0"/>
      <w:divBdr>
        <w:top w:val="none" w:sz="0" w:space="0" w:color="auto"/>
        <w:left w:val="none" w:sz="0" w:space="0" w:color="auto"/>
        <w:bottom w:val="none" w:sz="0" w:space="0" w:color="auto"/>
        <w:right w:val="none" w:sz="0" w:space="0" w:color="auto"/>
      </w:divBdr>
    </w:div>
    <w:div w:id="998074605">
      <w:bodyDiv w:val="1"/>
      <w:marLeft w:val="0"/>
      <w:marRight w:val="0"/>
      <w:marTop w:val="0"/>
      <w:marBottom w:val="0"/>
      <w:divBdr>
        <w:top w:val="none" w:sz="0" w:space="0" w:color="auto"/>
        <w:left w:val="none" w:sz="0" w:space="0" w:color="auto"/>
        <w:bottom w:val="none" w:sz="0" w:space="0" w:color="auto"/>
        <w:right w:val="none" w:sz="0" w:space="0" w:color="auto"/>
      </w:divBdr>
    </w:div>
    <w:div w:id="1045451217">
      <w:bodyDiv w:val="1"/>
      <w:marLeft w:val="0"/>
      <w:marRight w:val="0"/>
      <w:marTop w:val="0"/>
      <w:marBottom w:val="0"/>
      <w:divBdr>
        <w:top w:val="none" w:sz="0" w:space="0" w:color="auto"/>
        <w:left w:val="none" w:sz="0" w:space="0" w:color="auto"/>
        <w:bottom w:val="none" w:sz="0" w:space="0" w:color="auto"/>
        <w:right w:val="none" w:sz="0" w:space="0" w:color="auto"/>
      </w:divBdr>
    </w:div>
    <w:div w:id="1059789672">
      <w:bodyDiv w:val="1"/>
      <w:marLeft w:val="0"/>
      <w:marRight w:val="0"/>
      <w:marTop w:val="0"/>
      <w:marBottom w:val="0"/>
      <w:divBdr>
        <w:top w:val="none" w:sz="0" w:space="0" w:color="auto"/>
        <w:left w:val="none" w:sz="0" w:space="0" w:color="auto"/>
        <w:bottom w:val="none" w:sz="0" w:space="0" w:color="auto"/>
        <w:right w:val="none" w:sz="0" w:space="0" w:color="auto"/>
      </w:divBdr>
    </w:div>
    <w:div w:id="1111512819">
      <w:bodyDiv w:val="1"/>
      <w:marLeft w:val="0"/>
      <w:marRight w:val="0"/>
      <w:marTop w:val="0"/>
      <w:marBottom w:val="0"/>
      <w:divBdr>
        <w:top w:val="none" w:sz="0" w:space="0" w:color="auto"/>
        <w:left w:val="none" w:sz="0" w:space="0" w:color="auto"/>
        <w:bottom w:val="none" w:sz="0" w:space="0" w:color="auto"/>
        <w:right w:val="none" w:sz="0" w:space="0" w:color="auto"/>
      </w:divBdr>
    </w:div>
    <w:div w:id="1160464955">
      <w:bodyDiv w:val="1"/>
      <w:marLeft w:val="0"/>
      <w:marRight w:val="0"/>
      <w:marTop w:val="0"/>
      <w:marBottom w:val="0"/>
      <w:divBdr>
        <w:top w:val="none" w:sz="0" w:space="0" w:color="auto"/>
        <w:left w:val="none" w:sz="0" w:space="0" w:color="auto"/>
        <w:bottom w:val="none" w:sz="0" w:space="0" w:color="auto"/>
        <w:right w:val="none" w:sz="0" w:space="0" w:color="auto"/>
      </w:divBdr>
    </w:div>
    <w:div w:id="1184128022">
      <w:bodyDiv w:val="1"/>
      <w:marLeft w:val="0"/>
      <w:marRight w:val="0"/>
      <w:marTop w:val="0"/>
      <w:marBottom w:val="0"/>
      <w:divBdr>
        <w:top w:val="none" w:sz="0" w:space="0" w:color="auto"/>
        <w:left w:val="none" w:sz="0" w:space="0" w:color="auto"/>
        <w:bottom w:val="none" w:sz="0" w:space="0" w:color="auto"/>
        <w:right w:val="none" w:sz="0" w:space="0" w:color="auto"/>
      </w:divBdr>
    </w:div>
    <w:div w:id="1186941944">
      <w:bodyDiv w:val="1"/>
      <w:marLeft w:val="0"/>
      <w:marRight w:val="0"/>
      <w:marTop w:val="0"/>
      <w:marBottom w:val="0"/>
      <w:divBdr>
        <w:top w:val="none" w:sz="0" w:space="0" w:color="auto"/>
        <w:left w:val="none" w:sz="0" w:space="0" w:color="auto"/>
        <w:bottom w:val="none" w:sz="0" w:space="0" w:color="auto"/>
        <w:right w:val="none" w:sz="0" w:space="0" w:color="auto"/>
      </w:divBdr>
    </w:div>
    <w:div w:id="1194001772">
      <w:bodyDiv w:val="1"/>
      <w:marLeft w:val="0"/>
      <w:marRight w:val="0"/>
      <w:marTop w:val="0"/>
      <w:marBottom w:val="0"/>
      <w:divBdr>
        <w:top w:val="none" w:sz="0" w:space="0" w:color="auto"/>
        <w:left w:val="none" w:sz="0" w:space="0" w:color="auto"/>
        <w:bottom w:val="none" w:sz="0" w:space="0" w:color="auto"/>
        <w:right w:val="none" w:sz="0" w:space="0" w:color="auto"/>
      </w:divBdr>
    </w:div>
    <w:div w:id="1203857730">
      <w:bodyDiv w:val="1"/>
      <w:marLeft w:val="0"/>
      <w:marRight w:val="0"/>
      <w:marTop w:val="0"/>
      <w:marBottom w:val="0"/>
      <w:divBdr>
        <w:top w:val="none" w:sz="0" w:space="0" w:color="auto"/>
        <w:left w:val="none" w:sz="0" w:space="0" w:color="auto"/>
        <w:bottom w:val="none" w:sz="0" w:space="0" w:color="auto"/>
        <w:right w:val="none" w:sz="0" w:space="0" w:color="auto"/>
      </w:divBdr>
    </w:div>
    <w:div w:id="1226524268">
      <w:bodyDiv w:val="1"/>
      <w:marLeft w:val="0"/>
      <w:marRight w:val="0"/>
      <w:marTop w:val="0"/>
      <w:marBottom w:val="0"/>
      <w:divBdr>
        <w:top w:val="none" w:sz="0" w:space="0" w:color="auto"/>
        <w:left w:val="none" w:sz="0" w:space="0" w:color="auto"/>
        <w:bottom w:val="none" w:sz="0" w:space="0" w:color="auto"/>
        <w:right w:val="none" w:sz="0" w:space="0" w:color="auto"/>
      </w:divBdr>
    </w:div>
    <w:div w:id="1227031018">
      <w:bodyDiv w:val="1"/>
      <w:marLeft w:val="0"/>
      <w:marRight w:val="0"/>
      <w:marTop w:val="0"/>
      <w:marBottom w:val="0"/>
      <w:divBdr>
        <w:top w:val="none" w:sz="0" w:space="0" w:color="auto"/>
        <w:left w:val="none" w:sz="0" w:space="0" w:color="auto"/>
        <w:bottom w:val="none" w:sz="0" w:space="0" w:color="auto"/>
        <w:right w:val="none" w:sz="0" w:space="0" w:color="auto"/>
      </w:divBdr>
    </w:div>
    <w:div w:id="1250891044">
      <w:bodyDiv w:val="1"/>
      <w:marLeft w:val="0"/>
      <w:marRight w:val="0"/>
      <w:marTop w:val="0"/>
      <w:marBottom w:val="0"/>
      <w:divBdr>
        <w:top w:val="none" w:sz="0" w:space="0" w:color="auto"/>
        <w:left w:val="none" w:sz="0" w:space="0" w:color="auto"/>
        <w:bottom w:val="none" w:sz="0" w:space="0" w:color="auto"/>
        <w:right w:val="none" w:sz="0" w:space="0" w:color="auto"/>
      </w:divBdr>
    </w:div>
    <w:div w:id="1252736657">
      <w:bodyDiv w:val="1"/>
      <w:marLeft w:val="0"/>
      <w:marRight w:val="0"/>
      <w:marTop w:val="0"/>
      <w:marBottom w:val="0"/>
      <w:divBdr>
        <w:top w:val="none" w:sz="0" w:space="0" w:color="auto"/>
        <w:left w:val="none" w:sz="0" w:space="0" w:color="auto"/>
        <w:bottom w:val="none" w:sz="0" w:space="0" w:color="auto"/>
        <w:right w:val="none" w:sz="0" w:space="0" w:color="auto"/>
      </w:divBdr>
    </w:div>
    <w:div w:id="1260025450">
      <w:bodyDiv w:val="1"/>
      <w:marLeft w:val="0"/>
      <w:marRight w:val="0"/>
      <w:marTop w:val="0"/>
      <w:marBottom w:val="0"/>
      <w:divBdr>
        <w:top w:val="none" w:sz="0" w:space="0" w:color="auto"/>
        <w:left w:val="none" w:sz="0" w:space="0" w:color="auto"/>
        <w:bottom w:val="none" w:sz="0" w:space="0" w:color="auto"/>
        <w:right w:val="none" w:sz="0" w:space="0" w:color="auto"/>
      </w:divBdr>
    </w:div>
    <w:div w:id="1262566718">
      <w:bodyDiv w:val="1"/>
      <w:marLeft w:val="0"/>
      <w:marRight w:val="0"/>
      <w:marTop w:val="0"/>
      <w:marBottom w:val="0"/>
      <w:divBdr>
        <w:top w:val="none" w:sz="0" w:space="0" w:color="auto"/>
        <w:left w:val="none" w:sz="0" w:space="0" w:color="auto"/>
        <w:bottom w:val="none" w:sz="0" w:space="0" w:color="auto"/>
        <w:right w:val="none" w:sz="0" w:space="0" w:color="auto"/>
      </w:divBdr>
    </w:div>
    <w:div w:id="1317801973">
      <w:bodyDiv w:val="1"/>
      <w:marLeft w:val="0"/>
      <w:marRight w:val="0"/>
      <w:marTop w:val="0"/>
      <w:marBottom w:val="0"/>
      <w:divBdr>
        <w:top w:val="none" w:sz="0" w:space="0" w:color="auto"/>
        <w:left w:val="none" w:sz="0" w:space="0" w:color="auto"/>
        <w:bottom w:val="none" w:sz="0" w:space="0" w:color="auto"/>
        <w:right w:val="none" w:sz="0" w:space="0" w:color="auto"/>
      </w:divBdr>
    </w:div>
    <w:div w:id="1320378697">
      <w:bodyDiv w:val="1"/>
      <w:marLeft w:val="0"/>
      <w:marRight w:val="0"/>
      <w:marTop w:val="0"/>
      <w:marBottom w:val="0"/>
      <w:divBdr>
        <w:top w:val="none" w:sz="0" w:space="0" w:color="auto"/>
        <w:left w:val="none" w:sz="0" w:space="0" w:color="auto"/>
        <w:bottom w:val="none" w:sz="0" w:space="0" w:color="auto"/>
        <w:right w:val="none" w:sz="0" w:space="0" w:color="auto"/>
      </w:divBdr>
    </w:div>
    <w:div w:id="1345395701">
      <w:bodyDiv w:val="1"/>
      <w:marLeft w:val="0"/>
      <w:marRight w:val="0"/>
      <w:marTop w:val="0"/>
      <w:marBottom w:val="0"/>
      <w:divBdr>
        <w:top w:val="none" w:sz="0" w:space="0" w:color="auto"/>
        <w:left w:val="none" w:sz="0" w:space="0" w:color="auto"/>
        <w:bottom w:val="none" w:sz="0" w:space="0" w:color="auto"/>
        <w:right w:val="none" w:sz="0" w:space="0" w:color="auto"/>
      </w:divBdr>
    </w:div>
    <w:div w:id="1370833361">
      <w:bodyDiv w:val="1"/>
      <w:marLeft w:val="0"/>
      <w:marRight w:val="0"/>
      <w:marTop w:val="0"/>
      <w:marBottom w:val="0"/>
      <w:divBdr>
        <w:top w:val="none" w:sz="0" w:space="0" w:color="auto"/>
        <w:left w:val="none" w:sz="0" w:space="0" w:color="auto"/>
        <w:bottom w:val="none" w:sz="0" w:space="0" w:color="auto"/>
        <w:right w:val="none" w:sz="0" w:space="0" w:color="auto"/>
      </w:divBdr>
    </w:div>
    <w:div w:id="1405684191">
      <w:bodyDiv w:val="1"/>
      <w:marLeft w:val="0"/>
      <w:marRight w:val="0"/>
      <w:marTop w:val="0"/>
      <w:marBottom w:val="0"/>
      <w:divBdr>
        <w:top w:val="none" w:sz="0" w:space="0" w:color="auto"/>
        <w:left w:val="none" w:sz="0" w:space="0" w:color="auto"/>
        <w:bottom w:val="none" w:sz="0" w:space="0" w:color="auto"/>
        <w:right w:val="none" w:sz="0" w:space="0" w:color="auto"/>
      </w:divBdr>
    </w:div>
    <w:div w:id="1443650295">
      <w:bodyDiv w:val="1"/>
      <w:marLeft w:val="0"/>
      <w:marRight w:val="0"/>
      <w:marTop w:val="0"/>
      <w:marBottom w:val="0"/>
      <w:divBdr>
        <w:top w:val="none" w:sz="0" w:space="0" w:color="auto"/>
        <w:left w:val="none" w:sz="0" w:space="0" w:color="auto"/>
        <w:bottom w:val="none" w:sz="0" w:space="0" w:color="auto"/>
        <w:right w:val="none" w:sz="0" w:space="0" w:color="auto"/>
      </w:divBdr>
    </w:div>
    <w:div w:id="1455321215">
      <w:bodyDiv w:val="1"/>
      <w:marLeft w:val="0"/>
      <w:marRight w:val="0"/>
      <w:marTop w:val="0"/>
      <w:marBottom w:val="0"/>
      <w:divBdr>
        <w:top w:val="none" w:sz="0" w:space="0" w:color="auto"/>
        <w:left w:val="none" w:sz="0" w:space="0" w:color="auto"/>
        <w:bottom w:val="none" w:sz="0" w:space="0" w:color="auto"/>
        <w:right w:val="none" w:sz="0" w:space="0" w:color="auto"/>
      </w:divBdr>
    </w:div>
    <w:div w:id="1458600088">
      <w:bodyDiv w:val="1"/>
      <w:marLeft w:val="0"/>
      <w:marRight w:val="0"/>
      <w:marTop w:val="0"/>
      <w:marBottom w:val="0"/>
      <w:divBdr>
        <w:top w:val="none" w:sz="0" w:space="0" w:color="auto"/>
        <w:left w:val="none" w:sz="0" w:space="0" w:color="auto"/>
        <w:bottom w:val="none" w:sz="0" w:space="0" w:color="auto"/>
        <w:right w:val="none" w:sz="0" w:space="0" w:color="auto"/>
      </w:divBdr>
    </w:div>
    <w:div w:id="1468666874">
      <w:bodyDiv w:val="1"/>
      <w:marLeft w:val="0"/>
      <w:marRight w:val="0"/>
      <w:marTop w:val="0"/>
      <w:marBottom w:val="0"/>
      <w:divBdr>
        <w:top w:val="none" w:sz="0" w:space="0" w:color="auto"/>
        <w:left w:val="none" w:sz="0" w:space="0" w:color="auto"/>
        <w:bottom w:val="none" w:sz="0" w:space="0" w:color="auto"/>
        <w:right w:val="none" w:sz="0" w:space="0" w:color="auto"/>
      </w:divBdr>
    </w:div>
    <w:div w:id="1491677906">
      <w:bodyDiv w:val="1"/>
      <w:marLeft w:val="0"/>
      <w:marRight w:val="0"/>
      <w:marTop w:val="0"/>
      <w:marBottom w:val="0"/>
      <w:divBdr>
        <w:top w:val="none" w:sz="0" w:space="0" w:color="auto"/>
        <w:left w:val="none" w:sz="0" w:space="0" w:color="auto"/>
        <w:bottom w:val="none" w:sz="0" w:space="0" w:color="auto"/>
        <w:right w:val="none" w:sz="0" w:space="0" w:color="auto"/>
      </w:divBdr>
    </w:div>
    <w:div w:id="1493257631">
      <w:bodyDiv w:val="1"/>
      <w:marLeft w:val="0"/>
      <w:marRight w:val="0"/>
      <w:marTop w:val="0"/>
      <w:marBottom w:val="0"/>
      <w:divBdr>
        <w:top w:val="none" w:sz="0" w:space="0" w:color="auto"/>
        <w:left w:val="none" w:sz="0" w:space="0" w:color="auto"/>
        <w:bottom w:val="none" w:sz="0" w:space="0" w:color="auto"/>
        <w:right w:val="none" w:sz="0" w:space="0" w:color="auto"/>
      </w:divBdr>
    </w:div>
    <w:div w:id="1507405810">
      <w:bodyDiv w:val="1"/>
      <w:marLeft w:val="0"/>
      <w:marRight w:val="0"/>
      <w:marTop w:val="0"/>
      <w:marBottom w:val="0"/>
      <w:divBdr>
        <w:top w:val="none" w:sz="0" w:space="0" w:color="auto"/>
        <w:left w:val="none" w:sz="0" w:space="0" w:color="auto"/>
        <w:bottom w:val="none" w:sz="0" w:space="0" w:color="auto"/>
        <w:right w:val="none" w:sz="0" w:space="0" w:color="auto"/>
      </w:divBdr>
    </w:div>
    <w:div w:id="1549801423">
      <w:bodyDiv w:val="1"/>
      <w:marLeft w:val="0"/>
      <w:marRight w:val="0"/>
      <w:marTop w:val="0"/>
      <w:marBottom w:val="0"/>
      <w:divBdr>
        <w:top w:val="none" w:sz="0" w:space="0" w:color="auto"/>
        <w:left w:val="none" w:sz="0" w:space="0" w:color="auto"/>
        <w:bottom w:val="none" w:sz="0" w:space="0" w:color="auto"/>
        <w:right w:val="none" w:sz="0" w:space="0" w:color="auto"/>
      </w:divBdr>
    </w:div>
    <w:div w:id="1556353282">
      <w:bodyDiv w:val="1"/>
      <w:marLeft w:val="0"/>
      <w:marRight w:val="0"/>
      <w:marTop w:val="0"/>
      <w:marBottom w:val="0"/>
      <w:divBdr>
        <w:top w:val="none" w:sz="0" w:space="0" w:color="auto"/>
        <w:left w:val="none" w:sz="0" w:space="0" w:color="auto"/>
        <w:bottom w:val="none" w:sz="0" w:space="0" w:color="auto"/>
        <w:right w:val="none" w:sz="0" w:space="0" w:color="auto"/>
      </w:divBdr>
    </w:div>
    <w:div w:id="1617902199">
      <w:bodyDiv w:val="1"/>
      <w:marLeft w:val="0"/>
      <w:marRight w:val="0"/>
      <w:marTop w:val="0"/>
      <w:marBottom w:val="0"/>
      <w:divBdr>
        <w:top w:val="none" w:sz="0" w:space="0" w:color="auto"/>
        <w:left w:val="none" w:sz="0" w:space="0" w:color="auto"/>
        <w:bottom w:val="none" w:sz="0" w:space="0" w:color="auto"/>
        <w:right w:val="none" w:sz="0" w:space="0" w:color="auto"/>
      </w:divBdr>
    </w:div>
    <w:div w:id="1649360461">
      <w:bodyDiv w:val="1"/>
      <w:marLeft w:val="0"/>
      <w:marRight w:val="0"/>
      <w:marTop w:val="0"/>
      <w:marBottom w:val="0"/>
      <w:divBdr>
        <w:top w:val="none" w:sz="0" w:space="0" w:color="auto"/>
        <w:left w:val="none" w:sz="0" w:space="0" w:color="auto"/>
        <w:bottom w:val="none" w:sz="0" w:space="0" w:color="auto"/>
        <w:right w:val="none" w:sz="0" w:space="0" w:color="auto"/>
      </w:divBdr>
      <w:divsChild>
        <w:div w:id="645554187">
          <w:marLeft w:val="0"/>
          <w:marRight w:val="0"/>
          <w:marTop w:val="0"/>
          <w:marBottom w:val="0"/>
          <w:divBdr>
            <w:top w:val="none" w:sz="0" w:space="0" w:color="auto"/>
            <w:left w:val="none" w:sz="0" w:space="0" w:color="auto"/>
            <w:bottom w:val="none" w:sz="0" w:space="0" w:color="auto"/>
            <w:right w:val="none" w:sz="0" w:space="0" w:color="auto"/>
          </w:divBdr>
          <w:divsChild>
            <w:div w:id="15852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31749">
      <w:bodyDiv w:val="1"/>
      <w:marLeft w:val="0"/>
      <w:marRight w:val="0"/>
      <w:marTop w:val="0"/>
      <w:marBottom w:val="0"/>
      <w:divBdr>
        <w:top w:val="none" w:sz="0" w:space="0" w:color="auto"/>
        <w:left w:val="none" w:sz="0" w:space="0" w:color="auto"/>
        <w:bottom w:val="none" w:sz="0" w:space="0" w:color="auto"/>
        <w:right w:val="none" w:sz="0" w:space="0" w:color="auto"/>
      </w:divBdr>
    </w:div>
    <w:div w:id="1671718657">
      <w:bodyDiv w:val="1"/>
      <w:marLeft w:val="0"/>
      <w:marRight w:val="0"/>
      <w:marTop w:val="0"/>
      <w:marBottom w:val="0"/>
      <w:divBdr>
        <w:top w:val="none" w:sz="0" w:space="0" w:color="auto"/>
        <w:left w:val="none" w:sz="0" w:space="0" w:color="auto"/>
        <w:bottom w:val="none" w:sz="0" w:space="0" w:color="auto"/>
        <w:right w:val="none" w:sz="0" w:space="0" w:color="auto"/>
      </w:divBdr>
    </w:div>
    <w:div w:id="1705449013">
      <w:bodyDiv w:val="1"/>
      <w:marLeft w:val="0"/>
      <w:marRight w:val="0"/>
      <w:marTop w:val="0"/>
      <w:marBottom w:val="0"/>
      <w:divBdr>
        <w:top w:val="none" w:sz="0" w:space="0" w:color="auto"/>
        <w:left w:val="none" w:sz="0" w:space="0" w:color="auto"/>
        <w:bottom w:val="none" w:sz="0" w:space="0" w:color="auto"/>
        <w:right w:val="none" w:sz="0" w:space="0" w:color="auto"/>
      </w:divBdr>
    </w:div>
    <w:div w:id="1733230614">
      <w:bodyDiv w:val="1"/>
      <w:marLeft w:val="0"/>
      <w:marRight w:val="0"/>
      <w:marTop w:val="0"/>
      <w:marBottom w:val="0"/>
      <w:divBdr>
        <w:top w:val="none" w:sz="0" w:space="0" w:color="auto"/>
        <w:left w:val="none" w:sz="0" w:space="0" w:color="auto"/>
        <w:bottom w:val="none" w:sz="0" w:space="0" w:color="auto"/>
        <w:right w:val="none" w:sz="0" w:space="0" w:color="auto"/>
      </w:divBdr>
    </w:div>
    <w:div w:id="1784306685">
      <w:bodyDiv w:val="1"/>
      <w:marLeft w:val="0"/>
      <w:marRight w:val="0"/>
      <w:marTop w:val="0"/>
      <w:marBottom w:val="0"/>
      <w:divBdr>
        <w:top w:val="none" w:sz="0" w:space="0" w:color="auto"/>
        <w:left w:val="none" w:sz="0" w:space="0" w:color="auto"/>
        <w:bottom w:val="none" w:sz="0" w:space="0" w:color="auto"/>
        <w:right w:val="none" w:sz="0" w:space="0" w:color="auto"/>
      </w:divBdr>
    </w:div>
    <w:div w:id="1806893421">
      <w:bodyDiv w:val="1"/>
      <w:marLeft w:val="0"/>
      <w:marRight w:val="0"/>
      <w:marTop w:val="0"/>
      <w:marBottom w:val="0"/>
      <w:divBdr>
        <w:top w:val="none" w:sz="0" w:space="0" w:color="auto"/>
        <w:left w:val="none" w:sz="0" w:space="0" w:color="auto"/>
        <w:bottom w:val="none" w:sz="0" w:space="0" w:color="auto"/>
        <w:right w:val="none" w:sz="0" w:space="0" w:color="auto"/>
      </w:divBdr>
    </w:div>
    <w:div w:id="1808090466">
      <w:bodyDiv w:val="1"/>
      <w:marLeft w:val="0"/>
      <w:marRight w:val="0"/>
      <w:marTop w:val="0"/>
      <w:marBottom w:val="0"/>
      <w:divBdr>
        <w:top w:val="none" w:sz="0" w:space="0" w:color="auto"/>
        <w:left w:val="none" w:sz="0" w:space="0" w:color="auto"/>
        <w:bottom w:val="none" w:sz="0" w:space="0" w:color="auto"/>
        <w:right w:val="none" w:sz="0" w:space="0" w:color="auto"/>
      </w:divBdr>
    </w:div>
    <w:div w:id="1837302285">
      <w:bodyDiv w:val="1"/>
      <w:marLeft w:val="0"/>
      <w:marRight w:val="0"/>
      <w:marTop w:val="0"/>
      <w:marBottom w:val="0"/>
      <w:divBdr>
        <w:top w:val="none" w:sz="0" w:space="0" w:color="auto"/>
        <w:left w:val="none" w:sz="0" w:space="0" w:color="auto"/>
        <w:bottom w:val="none" w:sz="0" w:space="0" w:color="auto"/>
        <w:right w:val="none" w:sz="0" w:space="0" w:color="auto"/>
      </w:divBdr>
    </w:div>
    <w:div w:id="1841505592">
      <w:bodyDiv w:val="1"/>
      <w:marLeft w:val="0"/>
      <w:marRight w:val="0"/>
      <w:marTop w:val="0"/>
      <w:marBottom w:val="0"/>
      <w:divBdr>
        <w:top w:val="none" w:sz="0" w:space="0" w:color="auto"/>
        <w:left w:val="none" w:sz="0" w:space="0" w:color="auto"/>
        <w:bottom w:val="none" w:sz="0" w:space="0" w:color="auto"/>
        <w:right w:val="none" w:sz="0" w:space="0" w:color="auto"/>
      </w:divBdr>
    </w:div>
    <w:div w:id="1863784912">
      <w:bodyDiv w:val="1"/>
      <w:marLeft w:val="0"/>
      <w:marRight w:val="0"/>
      <w:marTop w:val="0"/>
      <w:marBottom w:val="0"/>
      <w:divBdr>
        <w:top w:val="none" w:sz="0" w:space="0" w:color="auto"/>
        <w:left w:val="none" w:sz="0" w:space="0" w:color="auto"/>
        <w:bottom w:val="none" w:sz="0" w:space="0" w:color="auto"/>
        <w:right w:val="none" w:sz="0" w:space="0" w:color="auto"/>
      </w:divBdr>
    </w:div>
    <w:div w:id="1881164642">
      <w:bodyDiv w:val="1"/>
      <w:marLeft w:val="0"/>
      <w:marRight w:val="0"/>
      <w:marTop w:val="0"/>
      <w:marBottom w:val="0"/>
      <w:divBdr>
        <w:top w:val="none" w:sz="0" w:space="0" w:color="auto"/>
        <w:left w:val="none" w:sz="0" w:space="0" w:color="auto"/>
        <w:bottom w:val="none" w:sz="0" w:space="0" w:color="auto"/>
        <w:right w:val="none" w:sz="0" w:space="0" w:color="auto"/>
      </w:divBdr>
    </w:div>
    <w:div w:id="1897012680">
      <w:bodyDiv w:val="1"/>
      <w:marLeft w:val="0"/>
      <w:marRight w:val="0"/>
      <w:marTop w:val="0"/>
      <w:marBottom w:val="0"/>
      <w:divBdr>
        <w:top w:val="none" w:sz="0" w:space="0" w:color="auto"/>
        <w:left w:val="none" w:sz="0" w:space="0" w:color="auto"/>
        <w:bottom w:val="none" w:sz="0" w:space="0" w:color="auto"/>
        <w:right w:val="none" w:sz="0" w:space="0" w:color="auto"/>
      </w:divBdr>
    </w:div>
    <w:div w:id="1924798469">
      <w:bodyDiv w:val="1"/>
      <w:marLeft w:val="0"/>
      <w:marRight w:val="0"/>
      <w:marTop w:val="0"/>
      <w:marBottom w:val="0"/>
      <w:divBdr>
        <w:top w:val="none" w:sz="0" w:space="0" w:color="auto"/>
        <w:left w:val="none" w:sz="0" w:space="0" w:color="auto"/>
        <w:bottom w:val="none" w:sz="0" w:space="0" w:color="auto"/>
        <w:right w:val="none" w:sz="0" w:space="0" w:color="auto"/>
      </w:divBdr>
      <w:divsChild>
        <w:div w:id="1818452108">
          <w:marLeft w:val="0"/>
          <w:marRight w:val="0"/>
          <w:marTop w:val="0"/>
          <w:marBottom w:val="300"/>
          <w:divBdr>
            <w:top w:val="none" w:sz="0" w:space="0" w:color="auto"/>
            <w:left w:val="none" w:sz="0" w:space="0" w:color="auto"/>
            <w:bottom w:val="none" w:sz="0" w:space="0" w:color="auto"/>
            <w:right w:val="none" w:sz="0" w:space="0" w:color="auto"/>
          </w:divBdr>
          <w:divsChild>
            <w:div w:id="420878831">
              <w:marLeft w:val="0"/>
              <w:marRight w:val="0"/>
              <w:marTop w:val="0"/>
              <w:marBottom w:val="0"/>
              <w:divBdr>
                <w:top w:val="none" w:sz="0" w:space="0" w:color="auto"/>
                <w:left w:val="none" w:sz="0" w:space="0" w:color="auto"/>
                <w:bottom w:val="none" w:sz="0" w:space="0" w:color="auto"/>
                <w:right w:val="none" w:sz="0" w:space="0" w:color="auto"/>
              </w:divBdr>
            </w:div>
          </w:divsChild>
        </w:div>
        <w:div w:id="491944635">
          <w:marLeft w:val="0"/>
          <w:marRight w:val="0"/>
          <w:marTop w:val="0"/>
          <w:marBottom w:val="300"/>
          <w:divBdr>
            <w:top w:val="none" w:sz="0" w:space="0" w:color="auto"/>
            <w:left w:val="none" w:sz="0" w:space="0" w:color="auto"/>
            <w:bottom w:val="none" w:sz="0" w:space="0" w:color="auto"/>
            <w:right w:val="none" w:sz="0" w:space="0" w:color="auto"/>
          </w:divBdr>
          <w:divsChild>
            <w:div w:id="212830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3858">
      <w:bodyDiv w:val="1"/>
      <w:marLeft w:val="0"/>
      <w:marRight w:val="0"/>
      <w:marTop w:val="0"/>
      <w:marBottom w:val="0"/>
      <w:divBdr>
        <w:top w:val="none" w:sz="0" w:space="0" w:color="auto"/>
        <w:left w:val="none" w:sz="0" w:space="0" w:color="auto"/>
        <w:bottom w:val="none" w:sz="0" w:space="0" w:color="auto"/>
        <w:right w:val="none" w:sz="0" w:space="0" w:color="auto"/>
      </w:divBdr>
    </w:div>
    <w:div w:id="1970041481">
      <w:bodyDiv w:val="1"/>
      <w:marLeft w:val="0"/>
      <w:marRight w:val="0"/>
      <w:marTop w:val="0"/>
      <w:marBottom w:val="0"/>
      <w:divBdr>
        <w:top w:val="none" w:sz="0" w:space="0" w:color="auto"/>
        <w:left w:val="none" w:sz="0" w:space="0" w:color="auto"/>
        <w:bottom w:val="none" w:sz="0" w:space="0" w:color="auto"/>
        <w:right w:val="none" w:sz="0" w:space="0" w:color="auto"/>
      </w:divBdr>
    </w:div>
    <w:div w:id="1973320915">
      <w:bodyDiv w:val="1"/>
      <w:marLeft w:val="0"/>
      <w:marRight w:val="0"/>
      <w:marTop w:val="0"/>
      <w:marBottom w:val="0"/>
      <w:divBdr>
        <w:top w:val="none" w:sz="0" w:space="0" w:color="auto"/>
        <w:left w:val="none" w:sz="0" w:space="0" w:color="auto"/>
        <w:bottom w:val="none" w:sz="0" w:space="0" w:color="auto"/>
        <w:right w:val="none" w:sz="0" w:space="0" w:color="auto"/>
      </w:divBdr>
    </w:div>
    <w:div w:id="1979874673">
      <w:bodyDiv w:val="1"/>
      <w:marLeft w:val="0"/>
      <w:marRight w:val="0"/>
      <w:marTop w:val="0"/>
      <w:marBottom w:val="0"/>
      <w:divBdr>
        <w:top w:val="none" w:sz="0" w:space="0" w:color="auto"/>
        <w:left w:val="none" w:sz="0" w:space="0" w:color="auto"/>
        <w:bottom w:val="none" w:sz="0" w:space="0" w:color="auto"/>
        <w:right w:val="none" w:sz="0" w:space="0" w:color="auto"/>
      </w:divBdr>
    </w:div>
    <w:div w:id="1987857541">
      <w:bodyDiv w:val="1"/>
      <w:marLeft w:val="0"/>
      <w:marRight w:val="0"/>
      <w:marTop w:val="0"/>
      <w:marBottom w:val="0"/>
      <w:divBdr>
        <w:top w:val="none" w:sz="0" w:space="0" w:color="auto"/>
        <w:left w:val="none" w:sz="0" w:space="0" w:color="auto"/>
        <w:bottom w:val="none" w:sz="0" w:space="0" w:color="auto"/>
        <w:right w:val="none" w:sz="0" w:space="0" w:color="auto"/>
      </w:divBdr>
    </w:div>
    <w:div w:id="1988780467">
      <w:bodyDiv w:val="1"/>
      <w:marLeft w:val="0"/>
      <w:marRight w:val="0"/>
      <w:marTop w:val="0"/>
      <w:marBottom w:val="0"/>
      <w:divBdr>
        <w:top w:val="none" w:sz="0" w:space="0" w:color="auto"/>
        <w:left w:val="none" w:sz="0" w:space="0" w:color="auto"/>
        <w:bottom w:val="none" w:sz="0" w:space="0" w:color="auto"/>
        <w:right w:val="none" w:sz="0" w:space="0" w:color="auto"/>
      </w:divBdr>
    </w:div>
    <w:div w:id="1997416402">
      <w:bodyDiv w:val="1"/>
      <w:marLeft w:val="0"/>
      <w:marRight w:val="0"/>
      <w:marTop w:val="0"/>
      <w:marBottom w:val="0"/>
      <w:divBdr>
        <w:top w:val="none" w:sz="0" w:space="0" w:color="auto"/>
        <w:left w:val="none" w:sz="0" w:space="0" w:color="auto"/>
        <w:bottom w:val="none" w:sz="0" w:space="0" w:color="auto"/>
        <w:right w:val="none" w:sz="0" w:space="0" w:color="auto"/>
      </w:divBdr>
    </w:div>
    <w:div w:id="2035105993">
      <w:bodyDiv w:val="1"/>
      <w:marLeft w:val="0"/>
      <w:marRight w:val="0"/>
      <w:marTop w:val="0"/>
      <w:marBottom w:val="0"/>
      <w:divBdr>
        <w:top w:val="none" w:sz="0" w:space="0" w:color="auto"/>
        <w:left w:val="none" w:sz="0" w:space="0" w:color="auto"/>
        <w:bottom w:val="none" w:sz="0" w:space="0" w:color="auto"/>
        <w:right w:val="none" w:sz="0" w:space="0" w:color="auto"/>
      </w:divBdr>
    </w:div>
    <w:div w:id="2072727287">
      <w:bodyDiv w:val="1"/>
      <w:marLeft w:val="0"/>
      <w:marRight w:val="0"/>
      <w:marTop w:val="0"/>
      <w:marBottom w:val="0"/>
      <w:divBdr>
        <w:top w:val="none" w:sz="0" w:space="0" w:color="auto"/>
        <w:left w:val="none" w:sz="0" w:space="0" w:color="auto"/>
        <w:bottom w:val="none" w:sz="0" w:space="0" w:color="auto"/>
        <w:right w:val="none" w:sz="0" w:space="0" w:color="auto"/>
      </w:divBdr>
    </w:div>
    <w:div w:id="2122605334">
      <w:bodyDiv w:val="1"/>
      <w:marLeft w:val="0"/>
      <w:marRight w:val="0"/>
      <w:marTop w:val="0"/>
      <w:marBottom w:val="0"/>
      <w:divBdr>
        <w:top w:val="none" w:sz="0" w:space="0" w:color="auto"/>
        <w:left w:val="none" w:sz="0" w:space="0" w:color="auto"/>
        <w:bottom w:val="none" w:sz="0" w:space="0" w:color="auto"/>
        <w:right w:val="none" w:sz="0" w:space="0" w:color="auto"/>
      </w:divBdr>
    </w:div>
    <w:div w:id="21437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aihw.gov.au/reports/australias-health/australias-health-2016/contents/chapter-4-determinants-of-health" TargetMode="External"/><Relationship Id="rId21" Type="http://schemas.openxmlformats.org/officeDocument/2006/relationships/image" Target="media/image11.png"/><Relationship Id="rId42" Type="http://schemas.openxmlformats.org/officeDocument/2006/relationships/chart" Target="charts/chart12.xml"/><Relationship Id="rId47" Type="http://schemas.openxmlformats.org/officeDocument/2006/relationships/chart" Target="charts/chart15.xml"/><Relationship Id="rId63" Type="http://schemas.openxmlformats.org/officeDocument/2006/relationships/chart" Target="charts/chart28.xml"/><Relationship Id="rId68" Type="http://schemas.openxmlformats.org/officeDocument/2006/relationships/image" Target="media/image30.png"/><Relationship Id="rId84" Type="http://schemas.openxmlformats.org/officeDocument/2006/relationships/chart" Target="charts/chart33.xml"/><Relationship Id="rId89" Type="http://schemas.openxmlformats.org/officeDocument/2006/relationships/chart" Target="charts/chart37.xml"/><Relationship Id="rId112" Type="http://schemas.openxmlformats.org/officeDocument/2006/relationships/hyperlink" Target="https://www.aihw.gov.au/reports/life-expectancy-death/mort-books/contents/mort-books" TargetMode="External"/><Relationship Id="rId133" Type="http://schemas.openxmlformats.org/officeDocument/2006/relationships/hyperlink" Target="https://d3n8a8pro7vhmx.cloudfront.net/lgbtihealth/pages/785/attachments/original/1620685393/LGBTIQ_Health_Australia_PolicyPriorities2021.pdf?1620685393" TargetMode="External"/><Relationship Id="rId138" Type="http://schemas.openxmlformats.org/officeDocument/2006/relationships/hyperlink" Target="https://cur.org.au/cms/wp-content/uploads/2018/09/melbourne-city-score-cards.pdf" TargetMode="External"/><Relationship Id="rId16" Type="http://schemas.openxmlformats.org/officeDocument/2006/relationships/image" Target="media/image6.png"/><Relationship Id="rId107" Type="http://schemas.openxmlformats.org/officeDocument/2006/relationships/hyperlink" Target="https://www.abs.gov.au/statistics/health/disability/disability-ageing-and-carers-australia-summary-findings/2018" TargetMode="External"/><Relationship Id="rId11" Type="http://schemas.openxmlformats.org/officeDocument/2006/relationships/image" Target="media/image2.png"/><Relationship Id="rId32" Type="http://schemas.openxmlformats.org/officeDocument/2006/relationships/chart" Target="charts/chart3.xml"/><Relationship Id="rId37" Type="http://schemas.openxmlformats.org/officeDocument/2006/relationships/chart" Target="charts/chart8.xml"/><Relationship Id="rId53" Type="http://schemas.openxmlformats.org/officeDocument/2006/relationships/image" Target="media/image25.png"/><Relationship Id="rId58" Type="http://schemas.openxmlformats.org/officeDocument/2006/relationships/chart" Target="charts/chart23.xml"/><Relationship Id="rId74" Type="http://schemas.openxmlformats.org/officeDocument/2006/relationships/chart" Target="charts/chart31.xml"/><Relationship Id="rId79" Type="http://schemas.openxmlformats.org/officeDocument/2006/relationships/image" Target="media/image37.png"/><Relationship Id="rId102" Type="http://schemas.openxmlformats.org/officeDocument/2006/relationships/image" Target="media/image45.png"/><Relationship Id="rId123" Type="http://schemas.openxmlformats.org/officeDocument/2006/relationships/hyperlink" Target="https://www.dhhs.vic.gov.au/publications/rental-report" TargetMode="External"/><Relationship Id="rId128" Type="http://schemas.openxmlformats.org/officeDocument/2006/relationships/hyperlink" Target="https://nam04.safelinks.protection.outlook.com/?url=https%3A%2F%2Fwww.homeaffairs.gov.au%2Fresearch-and-stats%2Ffiles%2Fillegal-maritime-arrivals-bve-june-2019.pdf&amp;data=04%7C01%7Cnaomi.paine%40myacu.edu.au%7C4fa3021f4b124886770608d93c1f6e8f%7C7c36a78e1602438c8e811e13ed494a5d%7C0%7C0%7C637606928280665928%7CUnknown%7CTWFpbGZsb3d8eyJWIjoiMC4wLjAwMDAiLCJQIjoiV2luMzIiLCJBTiI6Ik1haWwiLCJXVCI6Mn0%3D%7C1000&amp;sdata=2rWZeOKl4XhoYfm3lzATG8NzgPspRhG92wzN9cz3%2BvM%3D&amp;reserved=0" TargetMode="External"/><Relationship Id="rId144" Type="http://schemas.openxmlformats.org/officeDocument/2006/relationships/hyperlink" Target="https://www.vcglr.vic.gov.au/liquor-data"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38.xml"/><Relationship Id="rId95" Type="http://schemas.openxmlformats.org/officeDocument/2006/relationships/chart" Target="charts/chart43.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2.tmp"/><Relationship Id="rId48" Type="http://schemas.openxmlformats.org/officeDocument/2006/relationships/chart" Target="charts/chart16.xml"/><Relationship Id="rId64" Type="http://schemas.openxmlformats.org/officeDocument/2006/relationships/chart" Target="charts/chart29.xml"/><Relationship Id="rId69" Type="http://schemas.openxmlformats.org/officeDocument/2006/relationships/image" Target="media/image31.png"/><Relationship Id="rId113" Type="http://schemas.openxmlformats.org/officeDocument/2006/relationships/hyperlink" Target="https://www.gen-agedcaredata.gov.au/resources/access-data/2019/september/aged-care-service-list-30-june-2019" TargetMode="External"/><Relationship Id="rId118" Type="http://schemas.openxmlformats.org/officeDocument/2006/relationships/hyperlink" Target="https://www.betterhealth.vic.gov.au/health/healthyliving/physical-activity-its-important" TargetMode="External"/><Relationship Id="rId134" Type="http://schemas.openxmlformats.org/officeDocument/2006/relationships/hyperlink" Target="https://seniorsrights.org.au/wp-content/uploads/2014/03/Summary-Report_Profile-of-Elder-Abuse-in-Victoria_Final.pdf" TargetMode="External"/><Relationship Id="rId139" Type="http://schemas.openxmlformats.org/officeDocument/2006/relationships/hyperlink" Target="https://aifs.gov.au/cfca/publications/food-insecurity-australia-what-it-who-experiences-it-and-how-can-child" TargetMode="External"/><Relationship Id="rId80" Type="http://schemas.openxmlformats.org/officeDocument/2006/relationships/image" Target="media/image38.png"/><Relationship Id="rId85" Type="http://schemas.openxmlformats.org/officeDocument/2006/relationships/chart" Target="charts/chart34.xml"/><Relationship Id="rId150" Type="http://schemas.openxmlformats.org/officeDocument/2006/relationships/theme" Target="theme/theme1.xml"/><Relationship Id="rId12" Type="http://schemas.openxmlformats.org/officeDocument/2006/relationships/image" Target="media/image3.tm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23.png"/><Relationship Id="rId59" Type="http://schemas.openxmlformats.org/officeDocument/2006/relationships/chart" Target="charts/chart24.xml"/><Relationship Id="rId67" Type="http://schemas.openxmlformats.org/officeDocument/2006/relationships/image" Target="media/image29.png"/><Relationship Id="rId103" Type="http://schemas.openxmlformats.org/officeDocument/2006/relationships/hyperlink" Target="https://www.aihw.gov.au/reports/life-expectancy-death/deaths-in-australia/contents/leading-causes-of-death" TargetMode="External"/><Relationship Id="rId108" Type="http://schemas.openxmlformats.org/officeDocument/2006/relationships/hyperlink" Target="https://www.abs.gov.au/statistics/health/disability/disability-ageing-and-carers-australia-summary-findings/2018" TargetMode="External"/><Relationship Id="rId116" Type="http://schemas.openxmlformats.org/officeDocument/2006/relationships/hyperlink" Target="https://www.aihw.gov.au/reports/life-expectancy-death/deaths-in-australia/contents/leading-causes-of-death" TargetMode="External"/><Relationship Id="rId124" Type="http://schemas.openxmlformats.org/officeDocument/2006/relationships/hyperlink" Target="https://www.dhhs.vic.gov.au/case-locations-and-outbreaks" TargetMode="External"/><Relationship Id="rId129" Type="http://schemas.openxmlformats.org/officeDocument/2006/relationships/hyperlink" Target="https://www.dvrcv.org.au/help-advice/elder-abuse-and-family-violence" TargetMode="External"/><Relationship Id="rId137" Type="http://schemas.openxmlformats.org/officeDocument/2006/relationships/hyperlink" Target="https://cur.org.au/cms/wp-content/uploads/2018/09/melbourne-city-score-cards.pdf" TargetMode="External"/><Relationship Id="rId20" Type="http://schemas.openxmlformats.org/officeDocument/2006/relationships/image" Target="media/image10.png"/><Relationship Id="rId41" Type="http://schemas.openxmlformats.org/officeDocument/2006/relationships/chart" Target="charts/chart11.xml"/><Relationship Id="rId54" Type="http://schemas.openxmlformats.org/officeDocument/2006/relationships/chart" Target="charts/chart20.xml"/><Relationship Id="rId62" Type="http://schemas.openxmlformats.org/officeDocument/2006/relationships/chart" Target="charts/chart27.xml"/><Relationship Id="rId70" Type="http://schemas.openxmlformats.org/officeDocument/2006/relationships/chart" Target="charts/chart30.xml"/><Relationship Id="rId75" Type="http://schemas.openxmlformats.org/officeDocument/2006/relationships/chart" Target="charts/chart32.xml"/><Relationship Id="rId83" Type="http://schemas.openxmlformats.org/officeDocument/2006/relationships/image" Target="media/image41.tmp"/><Relationship Id="rId88" Type="http://schemas.openxmlformats.org/officeDocument/2006/relationships/chart" Target="charts/chart36.xml"/><Relationship Id="rId91" Type="http://schemas.openxmlformats.org/officeDocument/2006/relationships/chart" Target="charts/chart39.xml"/><Relationship Id="rId96" Type="http://schemas.openxmlformats.org/officeDocument/2006/relationships/chart" Target="charts/chart44.xml"/><Relationship Id="rId111" Type="http://schemas.openxmlformats.org/officeDocument/2006/relationships/hyperlink" Target="https://hwd.health.gov.au/datatool.html" TargetMode="External"/><Relationship Id="rId132" Type="http://schemas.openxmlformats.org/officeDocument/2006/relationships/hyperlink" Target="https://theconversation.com/even-in-a-pandemic-continue-with-routine-health-care-and-dont-ignore-a-medical-emergency-136246" TargetMode="External"/><Relationship Id="rId140" Type="http://schemas.openxmlformats.org/officeDocument/2006/relationships/hyperlink" Target="https://aodstats.org.au/index.php" TargetMode="External"/><Relationship Id="rId145" Type="http://schemas.openxmlformats.org/officeDocument/2006/relationships/hyperlink" Target="https://www.sustainability.vic.gov.au/About-us/Research/Health-and-Climate-Change-Researc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7.xml"/><Relationship Id="rId49" Type="http://schemas.openxmlformats.org/officeDocument/2006/relationships/chart" Target="charts/chart17.xml"/><Relationship Id="rId57" Type="http://schemas.openxmlformats.org/officeDocument/2006/relationships/chart" Target="charts/chart22.xml"/><Relationship Id="rId106" Type="http://schemas.openxmlformats.org/officeDocument/2006/relationships/hyperlink" Target="https://www.abc.net.au/news/2020-04-21/elective-surgery-restored-national-cabinet-cmo-coronavirus/12168848" TargetMode="External"/><Relationship Id="rId114" Type="http://schemas.openxmlformats.org/officeDocument/2006/relationships/hyperlink" Target="https://www.aihw.gov.au/reports/cancer-screening/national-cancer-screening-programs-participation/contents/summary" TargetMode="External"/><Relationship Id="rId119" Type="http://schemas.openxmlformats.org/officeDocument/2006/relationships/hyperlink" Target="https://www.crimestatistics.vic.gov.au/crime-statistics/latest-victorian-crime-data" TargetMode="External"/><Relationship Id="rId127" Type="http://schemas.openxmlformats.org/officeDocument/2006/relationships/hyperlink" Target="https://nam04.safelinks.protection.outlook.com/?url=https%3A%2F%2Fwww.homeaffairs.gov.au%2Fresearch-and-stats%2Ffiles%2Fillegal-maritime-arrivals-bve-june-2020.pdf&amp;data=04%7C01%7Cnaomi.paine%40myacu.edu.au%7C4fa3021f4b124886770608d93c1f6e8f%7C7c36a78e1602438c8e811e13ed494a5d%7C0%7C0%7C637606928280665928%7CUnknown%7CTWFpbGZsb3d8eyJWIjoiMC4wLjAwMDAiLCJQIjoiV2luMzIiLCJBTiI6Ik1haWwiLCJXVCI6Mn0%3D%7C1000&amp;sdata=CK%2Bhw2q9usccXF7zZiyz8OAnMoJKSyoz3ZzcJxOty8c%3D&amp;reserved=0" TargetMode="External"/><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chart" Target="charts/chart13.xml"/><Relationship Id="rId52" Type="http://schemas.openxmlformats.org/officeDocument/2006/relationships/chart" Target="charts/chart19.xml"/><Relationship Id="rId60" Type="http://schemas.openxmlformats.org/officeDocument/2006/relationships/chart" Target="charts/chart25.xml"/><Relationship Id="rId65" Type="http://schemas.openxmlformats.org/officeDocument/2006/relationships/image" Target="media/image27.png"/><Relationship Id="rId73" Type="http://schemas.openxmlformats.org/officeDocument/2006/relationships/hyperlink" Target="https://www.crimestatistics.vic.gov.au/crime-statistics/latest-crime-data-by-area" TargetMode="External"/><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2.png"/><Relationship Id="rId94" Type="http://schemas.openxmlformats.org/officeDocument/2006/relationships/chart" Target="charts/chart42.xml"/><Relationship Id="rId99" Type="http://schemas.openxmlformats.org/officeDocument/2006/relationships/hyperlink" Target="https://nam04.safelinks.protection.outlook.com/?url=https%3A%2F%2Fvicinjuryatlas.org.au%2F&amp;data=04%7C01%7Cnaomi.paine%40myacu.edu.au%7Cf0cf9072243d46d7171d08d9361918b4%7C7c36a78e1602438c8e811e13ed494a5d%7C0%7C0%7C637600304136097688%7CUnknown%7CTWFpbGZsb3d8eyJWIjoiMC4wLjAwMDAiLCJQIjoiV2luMzIiLCJBTiI6Ik1haWwiLCJXVCI6Mn0%3D%7C1000&amp;sdata=h1D%2BJa5WoKld2CbLYfAiX4P73ARTk1T3ZVBIDyferII%3D&amp;reserved=0" TargetMode="External"/><Relationship Id="rId101" Type="http://schemas.openxmlformats.org/officeDocument/2006/relationships/hyperlink" Target="https://nam04.safelinks.protection.outlook.com/?url=https%3A%2F%2Fwww.vicroads.vic.gov.au%2Fsafety-and-road-rules%2Fsafety-statistics%2Fcrash-statistics&amp;data=04%7C01%7Cnaomi.paine%40myacu.edu.au%7Cf0cf9072243d46d7171d08d9361918b4%7C7c36a78e1602438c8e811e13ed494a5d%7C0%7C0%7C637600304136097688%7CUnknown%7CTWFpbGZsb3d8eyJWIjoiMC4wLjAwMDAiLCJQIjoiV2luMzIiLCJBTiI6Ik1haWwiLCJXVCI6Mn0%3D%7C1000&amp;sdata=2vWnA%2FyJpKq457KVRwggB9gGMpBKKvN6SuQ2M9oVYRg%3D&amp;reserved=0" TargetMode="External"/><Relationship Id="rId122" Type="http://schemas.openxmlformats.org/officeDocument/2006/relationships/hyperlink" Target="https://www2.health.vic.gov.au/public-health/chief-health-officer/cho-publications/your-health-report-2018/injury-prevention/falls-prevention" TargetMode="External"/><Relationship Id="rId130" Type="http://schemas.openxmlformats.org/officeDocument/2006/relationships/hyperlink" Target="http://fecca.org.au/wp-content/uploads/2015/06/FECCA-Rural-and-Regional-report-June-2015-00000002.pdf" TargetMode="External"/><Relationship Id="rId135" Type="http://schemas.openxmlformats.org/officeDocument/2006/relationships/hyperlink" Target="https://seniorsrights.org.au/wp-content/uploads/2014/03/Summary-Report_Profile-of-Elder-Abuse-in-Victoria_Final.pdf" TargetMode="External"/><Relationship Id="rId143" Type="http://schemas.openxmlformats.org/officeDocument/2006/relationships/hyperlink" Target="https://www.vcglr.vic.gov.au/gambling-data" TargetMode="External"/><Relationship Id="rId148" Type="http://schemas.openxmlformats.org/officeDocument/2006/relationships/image" Target="media/image47.tmp"/><Relationship Id="rId15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chart" Target="charts/chart10.xml"/><Relationship Id="rId109" Type="http://schemas.openxmlformats.org/officeDocument/2006/relationships/hyperlink" Target="https://www.abs.gov.au/statistics/labour/earnings-and-work-hours/weekly-payroll-jobs-and-wages-australia/latest-release" TargetMode="External"/><Relationship Id="rId34" Type="http://schemas.openxmlformats.org/officeDocument/2006/relationships/chart" Target="charts/chart5.xml"/><Relationship Id="rId50" Type="http://schemas.openxmlformats.org/officeDocument/2006/relationships/chart" Target="charts/chart18.xml"/><Relationship Id="rId55" Type="http://schemas.openxmlformats.org/officeDocument/2006/relationships/chart" Target="charts/chart21.xml"/><Relationship Id="rId76" Type="http://schemas.openxmlformats.org/officeDocument/2006/relationships/image" Target="media/image34.tmp"/><Relationship Id="rId97" Type="http://schemas.openxmlformats.org/officeDocument/2006/relationships/chart" Target="charts/chart45.xml"/><Relationship Id="rId104" Type="http://schemas.openxmlformats.org/officeDocument/2006/relationships/hyperlink" Target="https://www.theatlantic.com/culture/archive/2020/03/americas-ageism-crisis-is-helping-the-coronavirus/608905/" TargetMode="External"/><Relationship Id="rId120" Type="http://schemas.openxmlformats.org/officeDocument/2006/relationships/hyperlink" Target="https://www.employment.gov.au/small-area-labour-markets-publication-0" TargetMode="External"/><Relationship Id="rId125" Type="http://schemas.openxmlformats.org/officeDocument/2006/relationships/hyperlink" Target="https://www.data.gov.au/dataset/ds-dga-8d1b90a9-a4d7-4b10-ad6a-8273722c8628/distribution/dist-dga-9f1aa933-a514-4301-a74a-b6c5e4adacd9/details?q" TargetMode="External"/><Relationship Id="rId141" Type="http://schemas.openxmlformats.org/officeDocument/2006/relationships/hyperlink" Target="https://www.vichealth.vic.gov.au/-/media/Indicators/Overview-sheets/10/VH_LG_Guides_Health-Eating_web.pdf?la=en&amp;amp;hash=52BF1B610FEEB1439DACE0E274F6847267F31C49" TargetMode="External"/><Relationship Id="rId146" Type="http://schemas.openxmlformats.org/officeDocument/2006/relationships/hyperlink" Target="https://responsiblegambling.vic.gov.au/resources/gambling-victoria/pokies-across-victoria/moonee-valley/"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chart" Target="charts/chart40.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chart" Target="charts/chart14.xml"/><Relationship Id="rId66" Type="http://schemas.openxmlformats.org/officeDocument/2006/relationships/image" Target="media/image28.tmp"/><Relationship Id="rId87" Type="http://schemas.openxmlformats.org/officeDocument/2006/relationships/chart" Target="charts/chart35.xml"/><Relationship Id="rId110" Type="http://schemas.openxmlformats.org/officeDocument/2006/relationships/hyperlink" Target="https://atlasesaustralia.com.au/ahpc/" TargetMode="External"/><Relationship Id="rId115" Type="http://schemas.openxmlformats.org/officeDocument/2006/relationships/hyperlink" Target="https://www.aihw.gov.au/reports-data/health-conditions-disability-deaths/chronic-disease/overview" TargetMode="External"/><Relationship Id="rId131" Type="http://schemas.openxmlformats.org/officeDocument/2006/relationships/hyperlink" Target="https://www.abc.net.au/news/2020-03-29/coronavirus-family-violence-surge-in-victoria/12098546" TargetMode="External"/><Relationship Id="rId136" Type="http://schemas.openxmlformats.org/officeDocument/2006/relationships/hyperlink" Target="https://app.remplan.com.au/mooneevalley/forecast/households/householdtype?state=x91ocGQbkcLaVZGFLEP1wS5fRSWaDhAJyxtZsPMgKNhgVrirsGAtYpR" TargetMode="External"/><Relationship Id="rId61" Type="http://schemas.openxmlformats.org/officeDocument/2006/relationships/chart" Target="charts/chart26.xml"/><Relationship Id="rId82" Type="http://schemas.openxmlformats.org/officeDocument/2006/relationships/image" Target="media/image40.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chart" Target="charts/chart6.xml"/><Relationship Id="rId56" Type="http://schemas.openxmlformats.org/officeDocument/2006/relationships/image" Target="media/image26.tmp"/><Relationship Id="rId77" Type="http://schemas.openxmlformats.org/officeDocument/2006/relationships/image" Target="media/image35.tmp"/><Relationship Id="rId100" Type="http://schemas.openxmlformats.org/officeDocument/2006/relationships/image" Target="media/image44.png"/><Relationship Id="rId105" Type="http://schemas.openxmlformats.org/officeDocument/2006/relationships/hyperlink" Target="https://www.latrobe.edu.au/__data/assets/pdf_file/0006/1109481/Rainbow-Health-Victoria-Research-Briefing-Paper-COVID-19.pdf" TargetMode="External"/><Relationship Id="rId126" Type="http://schemas.openxmlformats.org/officeDocument/2006/relationships/hyperlink" Target="https://www.data.gov.au/dataset/ds-dga-8d1b90a9-a4d7-4b10-ad6a-8273722c8628/distribution/dist-dga-9f1aa933-a514-4301-a74a-b6c5e4adacd9/details?q" TargetMode="External"/><Relationship Id="rId147" Type="http://schemas.openxmlformats.org/officeDocument/2006/relationships/image" Target="media/image46.png"/><Relationship Id="rId8" Type="http://schemas.openxmlformats.org/officeDocument/2006/relationships/image" Target="media/image1.tmp"/><Relationship Id="rId51" Type="http://schemas.openxmlformats.org/officeDocument/2006/relationships/image" Target="media/image24.png"/><Relationship Id="rId72" Type="http://schemas.openxmlformats.org/officeDocument/2006/relationships/image" Target="media/image33.png"/><Relationship Id="rId93" Type="http://schemas.openxmlformats.org/officeDocument/2006/relationships/chart" Target="charts/chart41.xml"/><Relationship Id="rId98" Type="http://schemas.openxmlformats.org/officeDocument/2006/relationships/image" Target="media/image43.png"/><Relationship Id="rId121" Type="http://schemas.openxmlformats.org/officeDocument/2006/relationships/hyperlink" Target="https://discover.data.vic.gov.au/dataset/victorian-coronavirus-data" TargetMode="External"/><Relationship Id="rId142" Type="http://schemas.openxmlformats.org/officeDocument/2006/relationships/hyperlink" Target="https://www.vichealth.vic.gov.au/-/media/Indicators/Overview-sheets/10/VH_LG_Guides_Health-Eating_web.pdf?la=en&amp;amp;hash=52BF1B610FEEB1439DACE0E274F6847267F31C49"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berta\AppData\Local\Micro%20Focus\Content%20Manager\TEMP\HPTRIM.13328\21%20123563%20%20Updated%202021%20demographic%20data_2020%20Health%20Profil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oberta\Documents\Micro%20Focus%20CM\Updated%202021%20demographic%20data_2020%20Health%20Profil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s00235052\Desktop\mvcc%20health%20profile\Copy%20of%20Community%20survey%20compares%20(00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s00235052\Desktop\mvcc%20health%20profile\Copy%20of%20Community%20survey%20compares%20(00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s00235052\Desktop\mvcc%20health%20profile\Copy%20of%20Community%20survey%20compares%20(00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oberta\Documents\Offline%20Records%20(MV)\Municipal%20Health%20&amp;%20Wellbeing%20-%20COMMUNITY%20DEVELOPMENT%20-%20Planning\Updated%202021%20demographic%20data_2020%20Health%20Profi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00235052\Desktop\mvcc%20health%20profile\Copy%20of%20Community%20survey%20compares%20(0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Health!$B$249</c:f>
              <c:strCache>
                <c:ptCount val="1"/>
                <c:pt idx="0">
                  <c:v>Number of cases</c:v>
                </c:pt>
              </c:strCache>
            </c:strRef>
          </c:tx>
          <c:spPr>
            <a:solidFill>
              <a:srgbClr val="31788F"/>
            </a:solidFill>
            <a:ln>
              <a:noFill/>
            </a:ln>
            <a:effectLst/>
          </c:spPr>
          <c:invertIfNegative val="0"/>
          <c:dPt>
            <c:idx val="1"/>
            <c:invertIfNegative val="0"/>
            <c:bubble3D val="0"/>
            <c:spPr>
              <a:solidFill>
                <a:srgbClr val="E55048"/>
              </a:solidFill>
              <a:ln>
                <a:noFill/>
              </a:ln>
              <a:effectLst/>
            </c:spPr>
            <c:extLst>
              <c:ext xmlns:c16="http://schemas.microsoft.com/office/drawing/2014/chart" uri="{C3380CC4-5D6E-409C-BE32-E72D297353CC}">
                <c16:uniqueId val="{00000001-6F6F-4C6F-A0FD-51A98F35BD7C}"/>
              </c:ext>
            </c:extLst>
          </c:dPt>
          <c:dLbls>
            <c:spPr>
              <a:noFill/>
              <a:ln>
                <a:noFill/>
              </a:ln>
              <a:effectLst/>
            </c:spPr>
            <c:txPr>
              <a:bodyPr rot="0" spcFirstLastPara="1" vertOverflow="ellipsis" vert="horz" wrap="square" lIns="38100" tIns="19050" rIns="38100" bIns="19050" anchor="ctr" anchorCtr="0">
                <a:spAutoFit/>
              </a:bodyPr>
              <a:lstStyle/>
              <a:p>
                <a:pPr algn="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Health!$A$250:$A$259</c:f>
              <c:strCache>
                <c:ptCount val="10"/>
                <c:pt idx="0">
                  <c:v>Darebin (C)</c:v>
                </c:pt>
                <c:pt idx="1">
                  <c:v>Moonee Valley (C)</c:v>
                </c:pt>
                <c:pt idx="2">
                  <c:v>Melbourne (C)</c:v>
                </c:pt>
                <c:pt idx="3">
                  <c:v>Moreland (C)</c:v>
                </c:pt>
                <c:pt idx="4">
                  <c:v>Casey (C)</c:v>
                </c:pt>
                <c:pt idx="5">
                  <c:v>Melton (C)</c:v>
                </c:pt>
                <c:pt idx="6">
                  <c:v>Whittlesea (C)</c:v>
                </c:pt>
                <c:pt idx="7">
                  <c:v>Hume (C)</c:v>
                </c:pt>
                <c:pt idx="8">
                  <c:v>Brimbank (C)</c:v>
                </c:pt>
                <c:pt idx="9">
                  <c:v>Wyndham (C)</c:v>
                </c:pt>
              </c:strCache>
            </c:strRef>
          </c:cat>
          <c:val>
            <c:numRef>
              <c:f>Health!$B$250:$B$259</c:f>
              <c:numCache>
                <c:formatCode>_-* #,##0_-;\-* #,##0_-;_-* "-"??_-;_-@_-</c:formatCode>
                <c:ptCount val="10"/>
                <c:pt idx="0">
                  <c:v>684</c:v>
                </c:pt>
                <c:pt idx="1">
                  <c:v>820</c:v>
                </c:pt>
                <c:pt idx="2">
                  <c:v>881</c:v>
                </c:pt>
                <c:pt idx="3">
                  <c:v>1054</c:v>
                </c:pt>
                <c:pt idx="4">
                  <c:v>1064</c:v>
                </c:pt>
                <c:pt idx="5">
                  <c:v>1143</c:v>
                </c:pt>
                <c:pt idx="6">
                  <c:v>1202</c:v>
                </c:pt>
                <c:pt idx="7">
                  <c:v>1659</c:v>
                </c:pt>
                <c:pt idx="8">
                  <c:v>2037</c:v>
                </c:pt>
                <c:pt idx="9">
                  <c:v>2251</c:v>
                </c:pt>
              </c:numCache>
            </c:numRef>
          </c:val>
          <c:extLst>
            <c:ext xmlns:c16="http://schemas.microsoft.com/office/drawing/2014/chart" uri="{C3380CC4-5D6E-409C-BE32-E72D297353CC}">
              <c16:uniqueId val="{00000002-6F6F-4C6F-A0FD-51A98F35BD7C}"/>
            </c:ext>
          </c:extLst>
        </c:ser>
        <c:dLbls>
          <c:dLblPos val="inBase"/>
          <c:showLegendKey val="0"/>
          <c:showVal val="1"/>
          <c:showCatName val="0"/>
          <c:showSerName val="0"/>
          <c:showPercent val="0"/>
          <c:showBubbleSize val="0"/>
        </c:dLbls>
        <c:gapWidth val="25"/>
        <c:axId val="864832552"/>
        <c:axId val="864825008"/>
      </c:barChart>
      <c:catAx>
        <c:axId val="864832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825008"/>
        <c:crosses val="autoZero"/>
        <c:auto val="1"/>
        <c:lblAlgn val="ctr"/>
        <c:lblOffset val="100"/>
        <c:noMultiLvlLbl val="0"/>
      </c:catAx>
      <c:valAx>
        <c:axId val="864825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Cases (since start of</a:t>
                </a:r>
                <a:r>
                  <a:rPr lang="en-AU" baseline="0"/>
                  <a:t> the pandemic)</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832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Disability!$B$2</c:f>
              <c:strCache>
                <c:ptCount val="1"/>
                <c:pt idx="0">
                  <c:v>Female</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Disability!$A$3:$A$13</c:f>
              <c:strCache>
                <c:ptCount val="11"/>
                <c:pt idx="0">
                  <c:v>85+</c:v>
                </c:pt>
                <c:pt idx="1">
                  <c:v>75 - 84</c:v>
                </c:pt>
                <c:pt idx="2">
                  <c:v>65 - 74</c:v>
                </c:pt>
                <c:pt idx="3">
                  <c:v>55 - 64</c:v>
                </c:pt>
                <c:pt idx="4">
                  <c:v>45 - 54</c:v>
                </c:pt>
                <c:pt idx="5">
                  <c:v>35 - 44</c:v>
                </c:pt>
                <c:pt idx="6">
                  <c:v>25 - 34</c:v>
                </c:pt>
                <c:pt idx="7">
                  <c:v>20 -24</c:v>
                </c:pt>
                <c:pt idx="8">
                  <c:v>15 - 19</c:v>
                </c:pt>
                <c:pt idx="9">
                  <c:v>5 - 14</c:v>
                </c:pt>
                <c:pt idx="10">
                  <c:v>0 - 4</c:v>
                </c:pt>
              </c:strCache>
            </c:strRef>
          </c:cat>
          <c:val>
            <c:numRef>
              <c:f>Disability!$B$3:$B$13</c:f>
              <c:numCache>
                <c:formatCode>0.0%</c:formatCode>
                <c:ptCount val="11"/>
                <c:pt idx="0">
                  <c:v>0.55600000000000005</c:v>
                </c:pt>
                <c:pt idx="1">
                  <c:v>0.29199999999999998</c:v>
                </c:pt>
                <c:pt idx="2">
                  <c:v>0.10299999999999999</c:v>
                </c:pt>
                <c:pt idx="3">
                  <c:v>4.7E-2</c:v>
                </c:pt>
                <c:pt idx="4">
                  <c:v>2.1000000000000001E-2</c:v>
                </c:pt>
                <c:pt idx="5">
                  <c:v>1.4999999999999999E-2</c:v>
                </c:pt>
                <c:pt idx="6">
                  <c:v>1.0999999999999999E-2</c:v>
                </c:pt>
                <c:pt idx="7">
                  <c:v>1.6E-2</c:v>
                </c:pt>
                <c:pt idx="8">
                  <c:v>1.4E-2</c:v>
                </c:pt>
                <c:pt idx="9">
                  <c:v>1.4E-2</c:v>
                </c:pt>
                <c:pt idx="10">
                  <c:v>6.0000000000000001E-3</c:v>
                </c:pt>
              </c:numCache>
            </c:numRef>
          </c:val>
          <c:extLst>
            <c:ext xmlns:c16="http://schemas.microsoft.com/office/drawing/2014/chart" uri="{C3380CC4-5D6E-409C-BE32-E72D297353CC}">
              <c16:uniqueId val="{00000000-A7F7-4D40-B906-C59342439951}"/>
            </c:ext>
          </c:extLst>
        </c:ser>
        <c:ser>
          <c:idx val="1"/>
          <c:order val="1"/>
          <c:tx>
            <c:strRef>
              <c:f>Disability!$C$2</c:f>
              <c:strCache>
                <c:ptCount val="1"/>
                <c:pt idx="0">
                  <c:v>Male</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Disability!$A$3:$A$13</c:f>
              <c:strCache>
                <c:ptCount val="11"/>
                <c:pt idx="0">
                  <c:v>85+</c:v>
                </c:pt>
                <c:pt idx="1">
                  <c:v>75 - 84</c:v>
                </c:pt>
                <c:pt idx="2">
                  <c:v>65 - 74</c:v>
                </c:pt>
                <c:pt idx="3">
                  <c:v>55 - 64</c:v>
                </c:pt>
                <c:pt idx="4">
                  <c:v>45 - 54</c:v>
                </c:pt>
                <c:pt idx="5">
                  <c:v>35 - 44</c:v>
                </c:pt>
                <c:pt idx="6">
                  <c:v>25 - 34</c:v>
                </c:pt>
                <c:pt idx="7">
                  <c:v>20 -24</c:v>
                </c:pt>
                <c:pt idx="8">
                  <c:v>15 - 19</c:v>
                </c:pt>
                <c:pt idx="9">
                  <c:v>5 - 14</c:v>
                </c:pt>
                <c:pt idx="10">
                  <c:v>0 - 4</c:v>
                </c:pt>
              </c:strCache>
            </c:strRef>
          </c:cat>
          <c:val>
            <c:numRef>
              <c:f>Disability!$C$3:$C$13</c:f>
              <c:numCache>
                <c:formatCode>0.0%</c:formatCode>
                <c:ptCount val="11"/>
                <c:pt idx="0">
                  <c:v>0.47299999999999998</c:v>
                </c:pt>
                <c:pt idx="1">
                  <c:v>0.21099999999999999</c:v>
                </c:pt>
                <c:pt idx="2">
                  <c:v>0.09</c:v>
                </c:pt>
                <c:pt idx="3">
                  <c:v>3.7999999999999999E-2</c:v>
                </c:pt>
                <c:pt idx="4">
                  <c:v>2.5999999999999999E-2</c:v>
                </c:pt>
                <c:pt idx="5">
                  <c:v>1.6E-2</c:v>
                </c:pt>
                <c:pt idx="6">
                  <c:v>0.01</c:v>
                </c:pt>
                <c:pt idx="7">
                  <c:v>1.4E-2</c:v>
                </c:pt>
                <c:pt idx="8">
                  <c:v>2.1999999999999999E-2</c:v>
                </c:pt>
                <c:pt idx="9">
                  <c:v>3.4000000000000002E-2</c:v>
                </c:pt>
                <c:pt idx="10">
                  <c:v>1.2999999999999999E-2</c:v>
                </c:pt>
              </c:numCache>
            </c:numRef>
          </c:val>
          <c:extLst>
            <c:ext xmlns:c16="http://schemas.microsoft.com/office/drawing/2014/chart" uri="{C3380CC4-5D6E-409C-BE32-E72D297353CC}">
              <c16:uniqueId val="{00000001-A7F7-4D40-B906-C59342439951}"/>
            </c:ext>
          </c:extLst>
        </c:ser>
        <c:dLbls>
          <c:dLblPos val="outEnd"/>
          <c:showLegendKey val="0"/>
          <c:showVal val="1"/>
          <c:showCatName val="0"/>
          <c:showSerName val="0"/>
          <c:showPercent val="0"/>
          <c:showBubbleSize val="0"/>
        </c:dLbls>
        <c:gapWidth val="25"/>
        <c:axId val="729541632"/>
        <c:axId val="729537696"/>
      </c:barChart>
      <c:catAx>
        <c:axId val="729541632"/>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537696"/>
        <c:crosses val="autoZero"/>
        <c:auto val="1"/>
        <c:lblAlgn val="ctr"/>
        <c:lblOffset val="100"/>
        <c:noMultiLvlLbl val="0"/>
      </c:catAx>
      <c:valAx>
        <c:axId val="72953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54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Languages!$B$17</c:f>
              <c:strCache>
                <c:ptCount val="1"/>
                <c:pt idx="0">
                  <c:v>Very well</c:v>
                </c:pt>
              </c:strCache>
            </c:strRef>
          </c:tx>
          <c:spPr>
            <a:solidFill>
              <a:srgbClr val="E55048"/>
            </a:solidFill>
            <a:ln>
              <a:noFill/>
            </a:ln>
            <a:effectLst/>
          </c:spPr>
          <c:invertIfNegative val="0"/>
          <c:cat>
            <c:strRef>
              <c:f>Languages!$A$18:$A$29</c:f>
              <c:strCache>
                <c:ptCount val="12"/>
                <c:pt idx="0">
                  <c:v>Somali</c:v>
                </c:pt>
                <c:pt idx="1">
                  <c:v>Turkish</c:v>
                </c:pt>
                <c:pt idx="2">
                  <c:v>Maltese</c:v>
                </c:pt>
                <c:pt idx="3">
                  <c:v>Hindi</c:v>
                </c:pt>
                <c:pt idx="4">
                  <c:v>Croatian</c:v>
                </c:pt>
                <c:pt idx="5">
                  <c:v>Spanish</c:v>
                </c:pt>
                <c:pt idx="6">
                  <c:v>Arabic</c:v>
                </c:pt>
                <c:pt idx="7">
                  <c:v>Cantonese</c:v>
                </c:pt>
                <c:pt idx="8">
                  <c:v>Mandarin</c:v>
                </c:pt>
                <c:pt idx="9">
                  <c:v>Vietnamese</c:v>
                </c:pt>
                <c:pt idx="10">
                  <c:v>Greek</c:v>
                </c:pt>
                <c:pt idx="11">
                  <c:v>Italian</c:v>
                </c:pt>
              </c:strCache>
            </c:strRef>
          </c:cat>
          <c:val>
            <c:numRef>
              <c:f>Languages!$B$18:$B$29</c:f>
              <c:numCache>
                <c:formatCode>0.0%</c:formatCode>
                <c:ptCount val="12"/>
                <c:pt idx="0">
                  <c:v>0.5366242038216561</c:v>
                </c:pt>
                <c:pt idx="1">
                  <c:v>0.69558359621451105</c:v>
                </c:pt>
                <c:pt idx="2">
                  <c:v>0.69767441860465118</c:v>
                </c:pt>
                <c:pt idx="3">
                  <c:v>0.79175946547884191</c:v>
                </c:pt>
                <c:pt idx="4">
                  <c:v>0.65953109072375127</c:v>
                </c:pt>
                <c:pt idx="5">
                  <c:v>0.59602649006622521</c:v>
                </c:pt>
                <c:pt idx="6">
                  <c:v>0.58096343586767263</c:v>
                </c:pt>
                <c:pt idx="7">
                  <c:v>0.44365035733919739</c:v>
                </c:pt>
                <c:pt idx="8">
                  <c:v>0.40423484119345526</c:v>
                </c:pt>
                <c:pt idx="9">
                  <c:v>0.44289897510980969</c:v>
                </c:pt>
                <c:pt idx="10">
                  <c:v>0.65629303222252822</c:v>
                </c:pt>
                <c:pt idx="11">
                  <c:v>0.59373420919656394</c:v>
                </c:pt>
              </c:numCache>
            </c:numRef>
          </c:val>
          <c:extLst>
            <c:ext xmlns:c16="http://schemas.microsoft.com/office/drawing/2014/chart" uri="{C3380CC4-5D6E-409C-BE32-E72D297353CC}">
              <c16:uniqueId val="{00000000-8898-42AC-97D9-28673E29D648}"/>
            </c:ext>
          </c:extLst>
        </c:ser>
        <c:ser>
          <c:idx val="1"/>
          <c:order val="1"/>
          <c:tx>
            <c:strRef>
              <c:f>Languages!$C$17</c:f>
              <c:strCache>
                <c:ptCount val="1"/>
                <c:pt idx="0">
                  <c:v>Well</c:v>
                </c:pt>
              </c:strCache>
            </c:strRef>
          </c:tx>
          <c:spPr>
            <a:solidFill>
              <a:srgbClr val="31788F"/>
            </a:solidFill>
            <a:ln>
              <a:noFill/>
            </a:ln>
            <a:effectLst/>
          </c:spPr>
          <c:invertIfNegative val="0"/>
          <c:cat>
            <c:strRef>
              <c:f>Languages!$A$18:$A$29</c:f>
              <c:strCache>
                <c:ptCount val="12"/>
                <c:pt idx="0">
                  <c:v>Somali</c:v>
                </c:pt>
                <c:pt idx="1">
                  <c:v>Turkish</c:v>
                </c:pt>
                <c:pt idx="2">
                  <c:v>Maltese</c:v>
                </c:pt>
                <c:pt idx="3">
                  <c:v>Hindi</c:v>
                </c:pt>
                <c:pt idx="4">
                  <c:v>Croatian</c:v>
                </c:pt>
                <c:pt idx="5">
                  <c:v>Spanish</c:v>
                </c:pt>
                <c:pt idx="6">
                  <c:v>Arabic</c:v>
                </c:pt>
                <c:pt idx="7">
                  <c:v>Cantonese</c:v>
                </c:pt>
                <c:pt idx="8">
                  <c:v>Mandarin</c:v>
                </c:pt>
                <c:pt idx="9">
                  <c:v>Vietnamese</c:v>
                </c:pt>
                <c:pt idx="10">
                  <c:v>Greek</c:v>
                </c:pt>
                <c:pt idx="11">
                  <c:v>Italian</c:v>
                </c:pt>
              </c:strCache>
            </c:strRef>
          </c:cat>
          <c:val>
            <c:numRef>
              <c:f>Languages!$C$18:$C$29</c:f>
              <c:numCache>
                <c:formatCode>0.0%</c:formatCode>
                <c:ptCount val="12"/>
                <c:pt idx="0">
                  <c:v>0.2786624203821656</c:v>
                </c:pt>
                <c:pt idx="1">
                  <c:v>0.18138801261829654</c:v>
                </c:pt>
                <c:pt idx="2">
                  <c:v>0.23100775193798451</c:v>
                </c:pt>
                <c:pt idx="3">
                  <c:v>0.16926503340757237</c:v>
                </c:pt>
                <c:pt idx="4">
                  <c:v>0.22629969418960244</c:v>
                </c:pt>
                <c:pt idx="5">
                  <c:v>0.27649006622516559</c:v>
                </c:pt>
                <c:pt idx="6">
                  <c:v>0.26871735345327918</c:v>
                </c:pt>
                <c:pt idx="7">
                  <c:v>0.23804288070368335</c:v>
                </c:pt>
                <c:pt idx="8">
                  <c:v>0.36910490856592876</c:v>
                </c:pt>
                <c:pt idx="9">
                  <c:v>0.29172767203513911</c:v>
                </c:pt>
                <c:pt idx="10">
                  <c:v>0.18039107683833655</c:v>
                </c:pt>
                <c:pt idx="11">
                  <c:v>0.23307225871652348</c:v>
                </c:pt>
              </c:numCache>
            </c:numRef>
          </c:val>
          <c:extLst>
            <c:ext xmlns:c16="http://schemas.microsoft.com/office/drawing/2014/chart" uri="{C3380CC4-5D6E-409C-BE32-E72D297353CC}">
              <c16:uniqueId val="{00000001-8898-42AC-97D9-28673E29D648}"/>
            </c:ext>
          </c:extLst>
        </c:ser>
        <c:ser>
          <c:idx val="2"/>
          <c:order val="2"/>
          <c:tx>
            <c:strRef>
              <c:f>Languages!$D$17</c:f>
              <c:strCache>
                <c:ptCount val="1"/>
                <c:pt idx="0">
                  <c:v>Not well</c:v>
                </c:pt>
              </c:strCache>
            </c:strRef>
          </c:tx>
          <c:spPr>
            <a:solidFill>
              <a:srgbClr val="6A4479"/>
            </a:solidFill>
            <a:ln>
              <a:noFill/>
            </a:ln>
            <a:effectLst/>
          </c:spPr>
          <c:invertIfNegative val="0"/>
          <c:cat>
            <c:strRef>
              <c:f>Languages!$A$18:$A$29</c:f>
              <c:strCache>
                <c:ptCount val="12"/>
                <c:pt idx="0">
                  <c:v>Somali</c:v>
                </c:pt>
                <c:pt idx="1">
                  <c:v>Turkish</c:v>
                </c:pt>
                <c:pt idx="2">
                  <c:v>Maltese</c:v>
                </c:pt>
                <c:pt idx="3">
                  <c:v>Hindi</c:v>
                </c:pt>
                <c:pt idx="4">
                  <c:v>Croatian</c:v>
                </c:pt>
                <c:pt idx="5">
                  <c:v>Spanish</c:v>
                </c:pt>
                <c:pt idx="6">
                  <c:v>Arabic</c:v>
                </c:pt>
                <c:pt idx="7">
                  <c:v>Cantonese</c:v>
                </c:pt>
                <c:pt idx="8">
                  <c:v>Mandarin</c:v>
                </c:pt>
                <c:pt idx="9">
                  <c:v>Vietnamese</c:v>
                </c:pt>
                <c:pt idx="10">
                  <c:v>Greek</c:v>
                </c:pt>
                <c:pt idx="11">
                  <c:v>Italian</c:v>
                </c:pt>
              </c:strCache>
            </c:strRef>
          </c:cat>
          <c:val>
            <c:numRef>
              <c:f>Languages!$D$18:$D$29</c:f>
              <c:numCache>
                <c:formatCode>0.0%</c:formatCode>
                <c:ptCount val="12"/>
                <c:pt idx="0">
                  <c:v>0.12101910828025478</c:v>
                </c:pt>
                <c:pt idx="1">
                  <c:v>0.11356466876971609</c:v>
                </c:pt>
                <c:pt idx="2">
                  <c:v>5.4263565891472867E-2</c:v>
                </c:pt>
                <c:pt idx="3">
                  <c:v>3.0066815144766147E-2</c:v>
                </c:pt>
                <c:pt idx="4">
                  <c:v>0.1019367991845056</c:v>
                </c:pt>
                <c:pt idx="5">
                  <c:v>9.6854304635761584E-2</c:v>
                </c:pt>
                <c:pt idx="6">
                  <c:v>0.1154962275101567</c:v>
                </c:pt>
                <c:pt idx="7">
                  <c:v>0.21385376580538756</c:v>
                </c:pt>
                <c:pt idx="8">
                  <c:v>0.15495668912415783</c:v>
                </c:pt>
                <c:pt idx="9">
                  <c:v>0.19838945827232796</c:v>
                </c:pt>
                <c:pt idx="10">
                  <c:v>0.13963095565959791</c:v>
                </c:pt>
                <c:pt idx="11">
                  <c:v>0.14666498231430014</c:v>
                </c:pt>
              </c:numCache>
            </c:numRef>
          </c:val>
          <c:extLst>
            <c:ext xmlns:c16="http://schemas.microsoft.com/office/drawing/2014/chart" uri="{C3380CC4-5D6E-409C-BE32-E72D297353CC}">
              <c16:uniqueId val="{00000002-8898-42AC-97D9-28673E29D648}"/>
            </c:ext>
          </c:extLst>
        </c:ser>
        <c:ser>
          <c:idx val="3"/>
          <c:order val="3"/>
          <c:tx>
            <c:strRef>
              <c:f>Languages!$E$17</c:f>
              <c:strCache>
                <c:ptCount val="1"/>
                <c:pt idx="0">
                  <c:v>Not at all</c:v>
                </c:pt>
              </c:strCache>
            </c:strRef>
          </c:tx>
          <c:spPr>
            <a:solidFill>
              <a:srgbClr val="4EA546"/>
            </a:solidFill>
            <a:ln>
              <a:noFill/>
            </a:ln>
            <a:effectLst/>
          </c:spPr>
          <c:invertIfNegative val="0"/>
          <c:cat>
            <c:strRef>
              <c:f>Languages!$A$18:$A$29</c:f>
              <c:strCache>
                <c:ptCount val="12"/>
                <c:pt idx="0">
                  <c:v>Somali</c:v>
                </c:pt>
                <c:pt idx="1">
                  <c:v>Turkish</c:v>
                </c:pt>
                <c:pt idx="2">
                  <c:v>Maltese</c:v>
                </c:pt>
                <c:pt idx="3">
                  <c:v>Hindi</c:v>
                </c:pt>
                <c:pt idx="4">
                  <c:v>Croatian</c:v>
                </c:pt>
                <c:pt idx="5">
                  <c:v>Spanish</c:v>
                </c:pt>
                <c:pt idx="6">
                  <c:v>Arabic</c:v>
                </c:pt>
                <c:pt idx="7">
                  <c:v>Cantonese</c:v>
                </c:pt>
                <c:pt idx="8">
                  <c:v>Mandarin</c:v>
                </c:pt>
                <c:pt idx="9">
                  <c:v>Vietnamese</c:v>
                </c:pt>
                <c:pt idx="10">
                  <c:v>Greek</c:v>
                </c:pt>
                <c:pt idx="11">
                  <c:v>Italian</c:v>
                </c:pt>
              </c:strCache>
            </c:strRef>
          </c:cat>
          <c:val>
            <c:numRef>
              <c:f>Languages!$E$18:$E$29</c:f>
              <c:numCache>
                <c:formatCode>0.0%</c:formatCode>
                <c:ptCount val="12"/>
                <c:pt idx="0">
                  <c:v>3.1847133757961783E-2</c:v>
                </c:pt>
                <c:pt idx="1">
                  <c:v>1.1041009463722398E-2</c:v>
                </c:pt>
                <c:pt idx="2">
                  <c:v>0</c:v>
                </c:pt>
                <c:pt idx="3">
                  <c:v>1.1135857461024499E-2</c:v>
                </c:pt>
                <c:pt idx="4">
                  <c:v>7.1355759429153924E-3</c:v>
                </c:pt>
                <c:pt idx="5">
                  <c:v>2.0695364238410598E-2</c:v>
                </c:pt>
                <c:pt idx="6">
                  <c:v>3.0179918746372606E-2</c:v>
                </c:pt>
                <c:pt idx="7">
                  <c:v>0.1011544804837823</c:v>
                </c:pt>
                <c:pt idx="8">
                  <c:v>6.3041385948026954E-2</c:v>
                </c:pt>
                <c:pt idx="9">
                  <c:v>6.0395314787701319E-2</c:v>
                </c:pt>
                <c:pt idx="10">
                  <c:v>1.2944092536491324E-2</c:v>
                </c:pt>
                <c:pt idx="11">
                  <c:v>1.2506316321374432E-2</c:v>
                </c:pt>
              </c:numCache>
            </c:numRef>
          </c:val>
          <c:extLst>
            <c:ext xmlns:c16="http://schemas.microsoft.com/office/drawing/2014/chart" uri="{C3380CC4-5D6E-409C-BE32-E72D297353CC}">
              <c16:uniqueId val="{00000003-8898-42AC-97D9-28673E29D648}"/>
            </c:ext>
          </c:extLst>
        </c:ser>
        <c:ser>
          <c:idx val="4"/>
          <c:order val="4"/>
          <c:tx>
            <c:strRef>
              <c:f>Languages!$F$17</c:f>
              <c:strCache>
                <c:ptCount val="1"/>
                <c:pt idx="0">
                  <c:v>Not stated</c:v>
                </c:pt>
              </c:strCache>
            </c:strRef>
          </c:tx>
          <c:spPr>
            <a:solidFill>
              <a:srgbClr val="E3A51E"/>
            </a:solidFill>
            <a:ln>
              <a:noFill/>
            </a:ln>
            <a:effectLst/>
          </c:spPr>
          <c:invertIfNegative val="0"/>
          <c:cat>
            <c:strRef>
              <c:f>Languages!$A$18:$A$29</c:f>
              <c:strCache>
                <c:ptCount val="12"/>
                <c:pt idx="0">
                  <c:v>Somali</c:v>
                </c:pt>
                <c:pt idx="1">
                  <c:v>Turkish</c:v>
                </c:pt>
                <c:pt idx="2">
                  <c:v>Maltese</c:v>
                </c:pt>
                <c:pt idx="3">
                  <c:v>Hindi</c:v>
                </c:pt>
                <c:pt idx="4">
                  <c:v>Croatian</c:v>
                </c:pt>
                <c:pt idx="5">
                  <c:v>Spanish</c:v>
                </c:pt>
                <c:pt idx="6">
                  <c:v>Arabic</c:v>
                </c:pt>
                <c:pt idx="7">
                  <c:v>Cantonese</c:v>
                </c:pt>
                <c:pt idx="8">
                  <c:v>Mandarin</c:v>
                </c:pt>
                <c:pt idx="9">
                  <c:v>Vietnamese</c:v>
                </c:pt>
                <c:pt idx="10">
                  <c:v>Greek</c:v>
                </c:pt>
                <c:pt idx="11">
                  <c:v>Italian</c:v>
                </c:pt>
              </c:strCache>
            </c:strRef>
          </c:cat>
          <c:val>
            <c:numRef>
              <c:f>Languages!$F$18:$F$29</c:f>
              <c:numCache>
                <c:formatCode>0.0%</c:formatCode>
                <c:ptCount val="12"/>
                <c:pt idx="0">
                  <c:v>3.662420382165605E-2</c:v>
                </c:pt>
                <c:pt idx="1">
                  <c:v>0</c:v>
                </c:pt>
                <c:pt idx="2">
                  <c:v>1.5503875968992248E-2</c:v>
                </c:pt>
                <c:pt idx="3">
                  <c:v>4.4543429844097994E-3</c:v>
                </c:pt>
                <c:pt idx="4">
                  <c:v>8.1549439347604492E-3</c:v>
                </c:pt>
                <c:pt idx="5">
                  <c:v>7.4503311258278145E-3</c:v>
                </c:pt>
                <c:pt idx="6">
                  <c:v>6.3842135809634359E-3</c:v>
                </c:pt>
                <c:pt idx="7">
                  <c:v>2.7487630566245189E-3</c:v>
                </c:pt>
                <c:pt idx="8">
                  <c:v>5.7747834456207889E-3</c:v>
                </c:pt>
                <c:pt idx="9">
                  <c:v>7.320644216691069E-3</c:v>
                </c:pt>
                <c:pt idx="10">
                  <c:v>1.1842467639768659E-2</c:v>
                </c:pt>
                <c:pt idx="11">
                  <c:v>1.5159171298635674E-2</c:v>
                </c:pt>
              </c:numCache>
            </c:numRef>
          </c:val>
          <c:extLst>
            <c:ext xmlns:c16="http://schemas.microsoft.com/office/drawing/2014/chart" uri="{C3380CC4-5D6E-409C-BE32-E72D297353CC}">
              <c16:uniqueId val="{00000004-8898-42AC-97D9-28673E29D648}"/>
            </c:ext>
          </c:extLst>
        </c:ser>
        <c:dLbls>
          <c:showLegendKey val="0"/>
          <c:showVal val="0"/>
          <c:showCatName val="0"/>
          <c:showSerName val="0"/>
          <c:showPercent val="0"/>
          <c:showBubbleSize val="0"/>
        </c:dLbls>
        <c:gapWidth val="25"/>
        <c:overlap val="100"/>
        <c:axId val="873981856"/>
        <c:axId val="873978248"/>
      </c:barChart>
      <c:catAx>
        <c:axId val="87398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978248"/>
        <c:crosses val="autoZero"/>
        <c:auto val="1"/>
        <c:lblAlgn val="ctr"/>
        <c:lblOffset val="100"/>
        <c:noMultiLvlLbl val="0"/>
      </c:catAx>
      <c:valAx>
        <c:axId val="873978248"/>
        <c:scaling>
          <c:orientation val="minMax"/>
        </c:scaling>
        <c:delete val="0"/>
        <c:axPos val="b"/>
        <c:numFmt formatCode="0%" sourceLinked="1"/>
        <c:majorTickMark val="out"/>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981856"/>
        <c:crosses val="autoZero"/>
        <c:crossBetween val="between"/>
        <c:majorUnit val="0.2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Education!$A$62</c:f>
              <c:strCache>
                <c:ptCount val="1"/>
                <c:pt idx="0">
                  <c:v>Australian</c:v>
                </c:pt>
              </c:strCache>
            </c:strRef>
          </c:tx>
          <c:spPr>
            <a:solidFill>
              <a:srgbClr val="E55048"/>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Education!$B$60:$C$60</c:f>
              <c:strCache>
                <c:ptCount val="2"/>
                <c:pt idx="0">
                  <c:v>University or other Tertiary Institution</c:v>
                </c:pt>
                <c:pt idx="1">
                  <c:v>Technical or Further Educational Institution (including TAFE Colleges)</c:v>
                </c:pt>
              </c:strCache>
            </c:strRef>
          </c:cat>
          <c:val>
            <c:numRef>
              <c:f>Education!$B$62:$C$62</c:f>
              <c:numCache>
                <c:formatCode>#,##0</c:formatCode>
                <c:ptCount val="2"/>
                <c:pt idx="0">
                  <c:v>6174</c:v>
                </c:pt>
                <c:pt idx="1">
                  <c:v>1147</c:v>
                </c:pt>
              </c:numCache>
            </c:numRef>
          </c:val>
          <c:extLst>
            <c:ext xmlns:c16="http://schemas.microsoft.com/office/drawing/2014/chart" uri="{C3380CC4-5D6E-409C-BE32-E72D297353CC}">
              <c16:uniqueId val="{00000000-61E9-4FEA-A900-A613E11B2EFA}"/>
            </c:ext>
          </c:extLst>
        </c:ser>
        <c:ser>
          <c:idx val="2"/>
          <c:order val="1"/>
          <c:tx>
            <c:strRef>
              <c:f>Education!$A$63</c:f>
              <c:strCache>
                <c:ptCount val="1"/>
                <c:pt idx="0">
                  <c:v>International</c:v>
                </c:pt>
              </c:strCache>
            </c:strRef>
          </c:tx>
          <c:spPr>
            <a:solidFill>
              <a:srgbClr val="31788F"/>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Education!$B$60:$C$60</c:f>
              <c:strCache>
                <c:ptCount val="2"/>
                <c:pt idx="0">
                  <c:v>University or other Tertiary Institution</c:v>
                </c:pt>
                <c:pt idx="1">
                  <c:v>Technical or Further Educational Institution (including TAFE Colleges)</c:v>
                </c:pt>
              </c:strCache>
            </c:strRef>
          </c:cat>
          <c:val>
            <c:numRef>
              <c:f>Education!$B$63:$C$63</c:f>
              <c:numCache>
                <c:formatCode>General</c:formatCode>
                <c:ptCount val="2"/>
                <c:pt idx="0" formatCode="#,##0">
                  <c:v>1274</c:v>
                </c:pt>
                <c:pt idx="1">
                  <c:v>439</c:v>
                </c:pt>
              </c:numCache>
            </c:numRef>
          </c:val>
          <c:extLst>
            <c:ext xmlns:c16="http://schemas.microsoft.com/office/drawing/2014/chart" uri="{C3380CC4-5D6E-409C-BE32-E72D297353CC}">
              <c16:uniqueId val="{00000001-61E9-4FEA-A900-A613E11B2EFA}"/>
            </c:ext>
          </c:extLst>
        </c:ser>
        <c:dLbls>
          <c:dLblPos val="ctr"/>
          <c:showLegendKey val="0"/>
          <c:showVal val="1"/>
          <c:showCatName val="0"/>
          <c:showSerName val="0"/>
          <c:showPercent val="0"/>
          <c:showBubbleSize val="0"/>
        </c:dLbls>
        <c:gapWidth val="150"/>
        <c:overlap val="100"/>
        <c:axId val="713806560"/>
        <c:axId val="713799344"/>
      </c:barChart>
      <c:catAx>
        <c:axId val="7138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13799344"/>
        <c:crosses val="autoZero"/>
        <c:auto val="1"/>
        <c:lblAlgn val="ctr"/>
        <c:lblOffset val="100"/>
        <c:noMultiLvlLbl val="0"/>
      </c:catAx>
      <c:valAx>
        <c:axId val="71379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AU"/>
                  <a:t>Number od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1380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'Alcohol, smoking gambling'!$L$3:$P$3</c:f>
              <c:strCache>
                <c:ptCount val="1"/>
                <c:pt idx="0">
                  <c:v>Moonee Valley</c:v>
                </c:pt>
              </c:strCache>
            </c:strRef>
          </c:tx>
          <c:spPr>
            <a:solidFill>
              <a:srgbClr val="E55048"/>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'Alcohol, smoking gambling'!$P$5:$P$7</c:f>
                <c:numCache>
                  <c:formatCode>General</c:formatCode>
                  <c:ptCount val="3"/>
                  <c:pt idx="0">
                    <c:v>5.3499999999999992E-2</c:v>
                  </c:pt>
                  <c:pt idx="1">
                    <c:v>5.1400000000000001E-2</c:v>
                  </c:pt>
                  <c:pt idx="2">
                    <c:v>5.6100000000000039E-2</c:v>
                  </c:pt>
                </c:numCache>
              </c:numRef>
            </c:plus>
            <c:minus>
              <c:numRef>
                <c:f>'Alcohol, smoking gambling'!$O$5:$O$7</c:f>
                <c:numCache>
                  <c:formatCode>General</c:formatCode>
                  <c:ptCount val="3"/>
                  <c:pt idx="0">
                    <c:v>4.1599999999999998E-2</c:v>
                  </c:pt>
                  <c:pt idx="1">
                    <c:v>4.4300000000000006E-2</c:v>
                  </c:pt>
                  <c:pt idx="2">
                    <c:v>5.9100000000000041E-2</c:v>
                  </c:pt>
                </c:numCache>
              </c:numRef>
            </c:minus>
            <c:spPr>
              <a:noFill/>
              <a:ln w="9525" cap="flat" cmpd="sng" algn="ctr">
                <a:noFill/>
                <a:round/>
              </a:ln>
              <a:effectLst/>
            </c:spPr>
          </c:errBars>
          <c:cat>
            <c:strRef>
              <c:f>'Alcohol, smoking gambling'!$A$5:$A$7</c:f>
              <c:strCache>
                <c:ptCount val="3"/>
                <c:pt idx="0">
                  <c:v>Current smoker</c:v>
                </c:pt>
                <c:pt idx="1">
                  <c:v>Ex-smoker</c:v>
                </c:pt>
                <c:pt idx="2">
                  <c:v>Non-smoker</c:v>
                </c:pt>
              </c:strCache>
            </c:strRef>
          </c:cat>
          <c:val>
            <c:numRef>
              <c:f>'Alcohol, smoking gambling'!$L$5:$L$7</c:f>
              <c:numCache>
                <c:formatCode>0.0%</c:formatCode>
                <c:ptCount val="3"/>
                <c:pt idx="0">
                  <c:v>0.1535</c:v>
                </c:pt>
                <c:pt idx="1">
                  <c:v>0.2273</c:v>
                </c:pt>
                <c:pt idx="2">
                  <c:v>0.60780000000000001</c:v>
                </c:pt>
              </c:numCache>
            </c:numRef>
          </c:val>
          <c:extLst>
            <c:ext xmlns:c16="http://schemas.microsoft.com/office/drawing/2014/chart" uri="{C3380CC4-5D6E-409C-BE32-E72D297353CC}">
              <c16:uniqueId val="{00000000-BD4B-4766-927A-017319917751}"/>
            </c:ext>
          </c:extLst>
        </c:ser>
        <c:ser>
          <c:idx val="1"/>
          <c:order val="1"/>
          <c:tx>
            <c:strRef>
              <c:f>'Alcohol, smoking gambling'!$G$3:$K$3</c:f>
              <c:strCache>
                <c:ptCount val="1"/>
                <c:pt idx="0">
                  <c:v>Victoria</c:v>
                </c:pt>
              </c:strCache>
            </c:strRef>
          </c:tx>
          <c:spPr>
            <a:solidFill>
              <a:srgbClr val="31788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'Alcohol, smoking gambling'!$K$5:$K$7</c:f>
                <c:numCache>
                  <c:formatCode>General</c:formatCode>
                  <c:ptCount val="3"/>
                  <c:pt idx="0">
                    <c:v>7.3000000000000009E-3</c:v>
                  </c:pt>
                  <c:pt idx="1">
                    <c:v>7.4000000000000177E-3</c:v>
                  </c:pt>
                  <c:pt idx="2">
                    <c:v>8.900000000000019E-3</c:v>
                  </c:pt>
                </c:numCache>
              </c:numRef>
            </c:plus>
            <c:minus>
              <c:numRef>
                <c:f>'Alcohol, smoking gambling'!$J$5:$J$7</c:f>
                <c:numCache>
                  <c:formatCode>General</c:formatCode>
                  <c:ptCount val="3"/>
                  <c:pt idx="0">
                    <c:v>7.0000000000000062E-3</c:v>
                  </c:pt>
                  <c:pt idx="1">
                    <c:v>7.2000000000000119E-3</c:v>
                  </c:pt>
                  <c:pt idx="2">
                    <c:v>9.000000000000008E-3</c:v>
                  </c:pt>
                </c:numCache>
              </c:numRef>
            </c:minus>
            <c:spPr>
              <a:noFill/>
              <a:ln w="9525" cap="flat" cmpd="sng" algn="ctr">
                <a:noFill/>
                <a:round/>
              </a:ln>
              <a:effectLst/>
            </c:spPr>
          </c:errBars>
          <c:cat>
            <c:strRef>
              <c:f>'Alcohol, smoking gambling'!$A$5:$A$7</c:f>
              <c:strCache>
                <c:ptCount val="3"/>
                <c:pt idx="0">
                  <c:v>Current smoker</c:v>
                </c:pt>
                <c:pt idx="1">
                  <c:v>Ex-smoker</c:v>
                </c:pt>
                <c:pt idx="2">
                  <c:v>Non-smoker</c:v>
                </c:pt>
              </c:strCache>
            </c:strRef>
          </c:cat>
          <c:val>
            <c:numRef>
              <c:f>'Alcohol, smoking gambling'!$G$5:$G$7</c:f>
              <c:numCache>
                <c:formatCode>0.0%</c:formatCode>
                <c:ptCount val="3"/>
                <c:pt idx="0">
                  <c:v>0.16739999999999999</c:v>
                </c:pt>
                <c:pt idx="1">
                  <c:v>0.24390000000000001</c:v>
                </c:pt>
                <c:pt idx="2">
                  <c:v>0.58089999999999997</c:v>
                </c:pt>
              </c:numCache>
            </c:numRef>
          </c:val>
          <c:extLst>
            <c:ext xmlns:c16="http://schemas.microsoft.com/office/drawing/2014/chart" uri="{C3380CC4-5D6E-409C-BE32-E72D297353CC}">
              <c16:uniqueId val="{00000001-BD4B-4766-927A-017319917751}"/>
            </c:ext>
          </c:extLst>
        </c:ser>
        <c:ser>
          <c:idx val="0"/>
          <c:order val="2"/>
          <c:tx>
            <c:strRef>
              <c:f>'Alcohol, smoking gambling'!$B$3:$F$3</c:f>
              <c:strCache>
                <c:ptCount val="1"/>
                <c:pt idx="0">
                  <c:v>Western Melbourne Area</c:v>
                </c:pt>
              </c:strCache>
            </c:strRef>
          </c:tx>
          <c:spPr>
            <a:solidFill>
              <a:srgbClr val="6A447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'Alcohol, smoking gambling'!$F$5:$F$7</c:f>
                <c:numCache>
                  <c:formatCode>General</c:formatCode>
                  <c:ptCount val="3"/>
                  <c:pt idx="0">
                    <c:v>2.1699999999999997E-2</c:v>
                  </c:pt>
                  <c:pt idx="1">
                    <c:v>2.3100000000000009E-2</c:v>
                  </c:pt>
                  <c:pt idx="2">
                    <c:v>2.6699999999999946E-2</c:v>
                  </c:pt>
                </c:numCache>
              </c:numRef>
            </c:plus>
            <c:minus>
              <c:numRef>
                <c:f>'Alcohol, smoking gambling'!$E$5:$E$7</c:f>
                <c:numCache>
                  <c:formatCode>General</c:formatCode>
                  <c:ptCount val="3"/>
                  <c:pt idx="0">
                    <c:v>1.9400000000000001E-2</c:v>
                  </c:pt>
                  <c:pt idx="1">
                    <c:v>2.1399999999999975E-2</c:v>
                  </c:pt>
                  <c:pt idx="2">
                    <c:v>2.7499999999999969E-2</c:v>
                  </c:pt>
                </c:numCache>
              </c:numRef>
            </c:minus>
            <c:spPr>
              <a:noFill/>
              <a:ln w="9525" cap="flat" cmpd="sng" algn="ctr">
                <a:noFill/>
                <a:round/>
              </a:ln>
              <a:effectLst/>
            </c:spPr>
          </c:errBars>
          <c:cat>
            <c:strRef>
              <c:f>'Alcohol, smoking gambling'!$A$5:$A$7</c:f>
              <c:strCache>
                <c:ptCount val="3"/>
                <c:pt idx="0">
                  <c:v>Current smoker</c:v>
                </c:pt>
                <c:pt idx="1">
                  <c:v>Ex-smoker</c:v>
                </c:pt>
                <c:pt idx="2">
                  <c:v>Non-smoker</c:v>
                </c:pt>
              </c:strCache>
            </c:strRef>
          </c:cat>
          <c:val>
            <c:numRef>
              <c:f>'Alcohol, smoking gambling'!$B$5:$B$7</c:f>
              <c:numCache>
                <c:formatCode>0.0%</c:formatCode>
                <c:ptCount val="3"/>
                <c:pt idx="0">
                  <c:v>0.15110000000000001</c:v>
                </c:pt>
                <c:pt idx="1">
                  <c:v>0.21809999999999999</c:v>
                </c:pt>
                <c:pt idx="2">
                  <c:v>0.626</c:v>
                </c:pt>
              </c:numCache>
            </c:numRef>
          </c:val>
          <c:extLst>
            <c:ext xmlns:c16="http://schemas.microsoft.com/office/drawing/2014/chart" uri="{C3380CC4-5D6E-409C-BE32-E72D297353CC}">
              <c16:uniqueId val="{00000002-BD4B-4766-927A-017319917751}"/>
            </c:ext>
          </c:extLst>
        </c:ser>
        <c:dLbls>
          <c:dLblPos val="inBase"/>
          <c:showLegendKey val="0"/>
          <c:showVal val="1"/>
          <c:showCatName val="0"/>
          <c:showSerName val="0"/>
          <c:showPercent val="0"/>
          <c:showBubbleSize val="0"/>
        </c:dLbls>
        <c:gapWidth val="25"/>
        <c:axId val="853239664"/>
        <c:axId val="853245568"/>
      </c:barChart>
      <c:catAx>
        <c:axId val="8532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Circular Std Book" panose="020B0604020101020102" pitchFamily="34" charset="0"/>
              </a:defRPr>
            </a:pPr>
            <a:endParaRPr lang="en-US"/>
          </a:p>
        </c:txPr>
        <c:crossAx val="853245568"/>
        <c:crosses val="autoZero"/>
        <c:auto val="1"/>
        <c:lblAlgn val="ctr"/>
        <c:lblOffset val="100"/>
        <c:noMultiLvlLbl val="0"/>
      </c:catAx>
      <c:valAx>
        <c:axId val="85324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Circular Std Book" panose="020B0604020101020102" pitchFamily="34" charset="0"/>
                  </a:defRPr>
                </a:pPr>
                <a:r>
                  <a:rPr lang="en-AU" sz="900">
                    <a:solidFill>
                      <a:schemeClr val="tx1">
                        <a:lumMod val="65000"/>
                        <a:lumOff val="35000"/>
                      </a:schemeClr>
                    </a:solidFill>
                    <a:latin typeface="+mn-lt"/>
                  </a:rPr>
                  <a:t>Percentage (with 95</a:t>
                </a:r>
                <a:r>
                  <a:rPr lang="en-AU" sz="900" b="0" i="0" u="none" strike="noStrike" kern="1200" baseline="0">
                    <a:solidFill>
                      <a:schemeClr val="tx1">
                        <a:lumMod val="65000"/>
                        <a:lumOff val="35000"/>
                      </a:schemeClr>
                    </a:solidFill>
                    <a:latin typeface="+mn-lt"/>
                    <a:ea typeface="+mn-ea"/>
                  </a:rPr>
                  <a:t>per cent</a:t>
                </a:r>
                <a:r>
                  <a:rPr lang="en-AU" sz="900">
                    <a:solidFill>
                      <a:schemeClr val="tx1">
                        <a:lumMod val="65000"/>
                        <a:lumOff val="35000"/>
                      </a:schemeClr>
                    </a:solidFill>
                    <a:latin typeface="+mn-lt"/>
                  </a:rPr>
                  <a:t> CI)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Circular Std Book" panose="020B0604020101020102"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Circular Std Book" panose="020B0604020101020102" pitchFamily="34" charset="0"/>
              </a:defRPr>
            </a:pPr>
            <a:endParaRPr lang="en-US"/>
          </a:p>
        </c:txPr>
        <c:crossAx val="85323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Circular Std Book" panose="020B0604020101020102"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bg1"/>
          </a:solidFill>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'Alcohol, smoking gambling'!$L$22:$P$22</c:f>
              <c:strCache>
                <c:ptCount val="1"/>
                <c:pt idx="0">
                  <c:v>Moonee Valley</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'Alcohol, smoking gambling'!$A$24:$A$25</c:f>
              <c:strCache>
                <c:ptCount val="2"/>
                <c:pt idx="0">
                  <c:v>Increased lifetime risk of alcohol-related harm</c:v>
                </c:pt>
                <c:pt idx="1">
                  <c:v>Increased risk of alcohol-related harm from a single occasion of drinking</c:v>
                </c:pt>
              </c:strCache>
            </c:strRef>
          </c:cat>
          <c:val>
            <c:numRef>
              <c:f>'Alcohol, smoking gambling'!$L$24:$L$25</c:f>
              <c:numCache>
                <c:formatCode>0.0%</c:formatCode>
                <c:ptCount val="2"/>
                <c:pt idx="0">
                  <c:v>0.64200000000000002</c:v>
                </c:pt>
                <c:pt idx="1">
                  <c:v>0.46600000000000003</c:v>
                </c:pt>
              </c:numCache>
            </c:numRef>
          </c:val>
          <c:extLst>
            <c:ext xmlns:c16="http://schemas.microsoft.com/office/drawing/2014/chart" uri="{C3380CC4-5D6E-409C-BE32-E72D297353CC}">
              <c16:uniqueId val="{00000000-9948-486C-A4E3-25447364C5F4}"/>
            </c:ext>
          </c:extLst>
        </c:ser>
        <c:ser>
          <c:idx val="1"/>
          <c:order val="1"/>
          <c:tx>
            <c:strRef>
              <c:f>'Alcohol, smoking gambling'!$G$22:$K$22</c:f>
              <c:strCache>
                <c:ptCount val="1"/>
                <c:pt idx="0">
                  <c:v>Victoria</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'Alcohol, smoking gambling'!$A$24:$A$25</c:f>
              <c:strCache>
                <c:ptCount val="2"/>
                <c:pt idx="0">
                  <c:v>Increased lifetime risk of alcohol-related harm</c:v>
                </c:pt>
                <c:pt idx="1">
                  <c:v>Increased risk of alcohol-related harm from a single occasion of drinking</c:v>
                </c:pt>
              </c:strCache>
            </c:strRef>
          </c:cat>
          <c:val>
            <c:numRef>
              <c:f>'Alcohol, smoking gambling'!$G$24:$G$25</c:f>
              <c:numCache>
                <c:formatCode>0.0%</c:formatCode>
                <c:ptCount val="2"/>
                <c:pt idx="0">
                  <c:v>0.59489069999999999</c:v>
                </c:pt>
                <c:pt idx="1">
                  <c:v>0.42985489999999998</c:v>
                </c:pt>
              </c:numCache>
            </c:numRef>
          </c:val>
          <c:extLst>
            <c:ext xmlns:c16="http://schemas.microsoft.com/office/drawing/2014/chart" uri="{C3380CC4-5D6E-409C-BE32-E72D297353CC}">
              <c16:uniqueId val="{00000001-9948-486C-A4E3-25447364C5F4}"/>
            </c:ext>
          </c:extLst>
        </c:ser>
        <c:ser>
          <c:idx val="0"/>
          <c:order val="2"/>
          <c:tx>
            <c:strRef>
              <c:f>'Alcohol, smoking gambling'!$B$22:$F$22</c:f>
              <c:strCache>
                <c:ptCount val="1"/>
                <c:pt idx="0">
                  <c:v>Western Melbourne Area</c:v>
                </c:pt>
              </c:strCache>
            </c:strRef>
          </c:tx>
          <c:spPr>
            <a:solidFill>
              <a:srgbClr val="6A44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'Alcohol, smoking gambling'!$A$24:$A$25</c:f>
              <c:strCache>
                <c:ptCount val="2"/>
                <c:pt idx="0">
                  <c:v>Increased lifetime risk of alcohol-related harm</c:v>
                </c:pt>
                <c:pt idx="1">
                  <c:v>Increased risk of alcohol-related harm from a single occasion of drinking</c:v>
                </c:pt>
              </c:strCache>
            </c:strRef>
          </c:cat>
          <c:val>
            <c:numRef>
              <c:f>'Alcohol, smoking gambling'!$B$24:$B$25</c:f>
              <c:numCache>
                <c:formatCode>0.0%</c:formatCode>
                <c:ptCount val="2"/>
                <c:pt idx="0">
                  <c:v>0.54600000000000004</c:v>
                </c:pt>
                <c:pt idx="1">
                  <c:v>0.39491300000000001</c:v>
                </c:pt>
              </c:numCache>
            </c:numRef>
          </c:val>
          <c:extLst>
            <c:ext xmlns:c16="http://schemas.microsoft.com/office/drawing/2014/chart" uri="{C3380CC4-5D6E-409C-BE32-E72D297353CC}">
              <c16:uniqueId val="{00000002-9948-486C-A4E3-25447364C5F4}"/>
            </c:ext>
          </c:extLst>
        </c:ser>
        <c:dLbls>
          <c:dLblPos val="inBase"/>
          <c:showLegendKey val="0"/>
          <c:showVal val="1"/>
          <c:showCatName val="0"/>
          <c:showSerName val="0"/>
          <c:showPercent val="0"/>
          <c:showBubbleSize val="0"/>
        </c:dLbls>
        <c:gapWidth val="25"/>
        <c:axId val="905609808"/>
        <c:axId val="905611776"/>
      </c:barChart>
      <c:catAx>
        <c:axId val="90560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611776"/>
        <c:crosses val="autoZero"/>
        <c:auto val="1"/>
        <c:lblAlgn val="ctr"/>
        <c:lblOffset val="100"/>
        <c:noMultiLvlLbl val="0"/>
      </c:catAx>
      <c:valAx>
        <c:axId val="90561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(with 95</a:t>
                </a:r>
                <a:r>
                  <a:rPr lang="en-AU" sz="1000" b="0" i="0" u="none" strike="noStrike" kern="1200" baseline="0">
                    <a:solidFill>
                      <a:sysClr val="windowText" lastClr="000000">
                        <a:lumMod val="65000"/>
                        <a:lumOff val="35000"/>
                      </a:sysClr>
                    </a:solidFill>
                    <a:latin typeface="+mn-lt"/>
                    <a:ea typeface="+mn-ea"/>
                    <a:cs typeface="+mn-cs"/>
                  </a:rPr>
                  <a:t>per cent</a:t>
                </a:r>
                <a:r>
                  <a:rPr lang="en-AU"/>
                  <a:t> CI)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6098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'Alcohol, smoking gambling'!$A$68</c:f>
              <c:strCache>
                <c:ptCount val="1"/>
                <c:pt idx="0">
                  <c:v>Male</c:v>
                </c:pt>
              </c:strCache>
            </c:strRef>
          </c:tx>
          <c:spPr>
            <a:ln w="19050" cap="rnd">
              <a:solidFill>
                <a:srgbClr val="31788F"/>
              </a:solidFill>
              <a:round/>
            </a:ln>
            <a:effectLst/>
          </c:spPr>
          <c:marker>
            <c:symbol val="circle"/>
            <c:size val="5"/>
            <c:spPr>
              <a:solidFill>
                <a:srgbClr val="31788F"/>
              </a:solidFill>
              <a:ln w="9525">
                <a:solidFill>
                  <a:srgbClr val="31788F"/>
                </a:solidFill>
              </a:ln>
              <a:effectLst/>
            </c:spPr>
          </c:marker>
          <c:cat>
            <c:strRef>
              <c:f>'Alcohol, smoking gambling'!$B$67:$K$67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gambling'!$B$68:$K$68</c:f>
              <c:numCache>
                <c:formatCode>General</c:formatCode>
                <c:ptCount val="10"/>
                <c:pt idx="0">
                  <c:v>277</c:v>
                </c:pt>
                <c:pt idx="1">
                  <c:v>232</c:v>
                </c:pt>
                <c:pt idx="2">
                  <c:v>272</c:v>
                </c:pt>
                <c:pt idx="3">
                  <c:v>294</c:v>
                </c:pt>
                <c:pt idx="4">
                  <c:v>312</c:v>
                </c:pt>
                <c:pt idx="5">
                  <c:v>304</c:v>
                </c:pt>
                <c:pt idx="6">
                  <c:v>366</c:v>
                </c:pt>
                <c:pt idx="7">
                  <c:v>346</c:v>
                </c:pt>
                <c:pt idx="8">
                  <c:v>442</c:v>
                </c:pt>
                <c:pt idx="9">
                  <c:v>428</c:v>
                </c:pt>
              </c:numCache>
            </c:numRef>
          </c:val>
          <c:smooth val="0"/>
          <c:extLst>
            <c:ext xmlns:c16="http://schemas.microsoft.com/office/drawing/2014/chart" uri="{C3380CC4-5D6E-409C-BE32-E72D297353CC}">
              <c16:uniqueId val="{00000000-8204-40BD-8A1B-C3FAF9A7C36B}"/>
            </c:ext>
          </c:extLst>
        </c:ser>
        <c:ser>
          <c:idx val="1"/>
          <c:order val="1"/>
          <c:tx>
            <c:strRef>
              <c:f>'Alcohol, smoking gambling'!$A$69</c:f>
              <c:strCache>
                <c:ptCount val="1"/>
                <c:pt idx="0">
                  <c:v>Female</c:v>
                </c:pt>
              </c:strCache>
            </c:strRef>
          </c:tx>
          <c:spPr>
            <a:ln w="19050" cap="rnd">
              <a:solidFill>
                <a:srgbClr val="E55048"/>
              </a:solidFill>
              <a:round/>
            </a:ln>
            <a:effectLst/>
          </c:spPr>
          <c:marker>
            <c:symbol val="circle"/>
            <c:size val="5"/>
            <c:spPr>
              <a:solidFill>
                <a:srgbClr val="E55048"/>
              </a:solidFill>
              <a:ln w="9525">
                <a:solidFill>
                  <a:srgbClr val="E55048"/>
                </a:solidFill>
              </a:ln>
              <a:effectLst/>
            </c:spPr>
          </c:marker>
          <c:cat>
            <c:strRef>
              <c:f>'Alcohol, smoking gambling'!$B$67:$K$67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gambling'!$B$69:$K$69</c:f>
              <c:numCache>
                <c:formatCode>General</c:formatCode>
                <c:ptCount val="10"/>
                <c:pt idx="0">
                  <c:v>164</c:v>
                </c:pt>
                <c:pt idx="1">
                  <c:v>111</c:v>
                </c:pt>
                <c:pt idx="2">
                  <c:v>131</c:v>
                </c:pt>
                <c:pt idx="3">
                  <c:v>148</c:v>
                </c:pt>
                <c:pt idx="4">
                  <c:v>247</c:v>
                </c:pt>
                <c:pt idx="5">
                  <c:v>217</c:v>
                </c:pt>
                <c:pt idx="6">
                  <c:v>121</c:v>
                </c:pt>
                <c:pt idx="7">
                  <c:v>132</c:v>
                </c:pt>
                <c:pt idx="8">
                  <c:v>182</c:v>
                </c:pt>
                <c:pt idx="9">
                  <c:v>179</c:v>
                </c:pt>
              </c:numCache>
            </c:numRef>
          </c:val>
          <c:smooth val="0"/>
          <c:extLst>
            <c:ext xmlns:c16="http://schemas.microsoft.com/office/drawing/2014/chart" uri="{C3380CC4-5D6E-409C-BE32-E72D297353CC}">
              <c16:uniqueId val="{00000001-8204-40BD-8A1B-C3FAF9A7C36B}"/>
            </c:ext>
          </c:extLst>
        </c:ser>
        <c:dLbls>
          <c:showLegendKey val="0"/>
          <c:showVal val="0"/>
          <c:showCatName val="0"/>
          <c:showSerName val="0"/>
          <c:showPercent val="0"/>
          <c:showBubbleSize val="0"/>
        </c:dLbls>
        <c:marker val="1"/>
        <c:smooth val="0"/>
        <c:axId val="651442344"/>
        <c:axId val="651441032"/>
      </c:lineChart>
      <c:catAx>
        <c:axId val="65144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441032"/>
        <c:crosses val="autoZero"/>
        <c:auto val="1"/>
        <c:lblAlgn val="ctr"/>
        <c:lblOffset val="100"/>
        <c:noMultiLvlLbl val="0"/>
      </c:catAx>
      <c:valAx>
        <c:axId val="65144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admissions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442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'Alcohol, smoking gambling'!$A$87</c:f>
              <c:strCache>
                <c:ptCount val="1"/>
                <c:pt idx="0">
                  <c:v>Banyule</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gambling'!$B$87:$K$87</c:f>
              <c:numCache>
                <c:formatCode>General</c:formatCode>
                <c:ptCount val="10"/>
                <c:pt idx="0">
                  <c:v>55</c:v>
                </c:pt>
                <c:pt idx="1">
                  <c:v>32.6</c:v>
                </c:pt>
                <c:pt idx="2">
                  <c:v>38.5</c:v>
                </c:pt>
                <c:pt idx="3">
                  <c:v>31.6</c:v>
                </c:pt>
                <c:pt idx="4">
                  <c:v>37.6</c:v>
                </c:pt>
                <c:pt idx="5">
                  <c:v>46.6</c:v>
                </c:pt>
                <c:pt idx="6">
                  <c:v>39.6</c:v>
                </c:pt>
                <c:pt idx="7">
                  <c:v>48.6</c:v>
                </c:pt>
                <c:pt idx="8">
                  <c:v>48.3</c:v>
                </c:pt>
                <c:pt idx="9">
                  <c:v>48.4</c:v>
                </c:pt>
              </c:numCache>
            </c:numRef>
          </c:val>
          <c:smooth val="0"/>
          <c:extLst>
            <c:ext xmlns:c16="http://schemas.microsoft.com/office/drawing/2014/chart" uri="{C3380CC4-5D6E-409C-BE32-E72D297353CC}">
              <c16:uniqueId val="{00000000-D84C-4D50-A870-771E890EA62B}"/>
            </c:ext>
          </c:extLst>
        </c:ser>
        <c:ser>
          <c:idx val="1"/>
          <c:order val="1"/>
          <c:tx>
            <c:strRef>
              <c:f>'Alcohol, smoking gambling'!$A$88</c:f>
              <c:strCache>
                <c:ptCount val="1"/>
                <c:pt idx="0">
                  <c:v>Brimbank</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gambling'!$B$88:$K$88</c:f>
              <c:numCache>
                <c:formatCode>General</c:formatCode>
                <c:ptCount val="10"/>
                <c:pt idx="0">
                  <c:v>23</c:v>
                </c:pt>
                <c:pt idx="1">
                  <c:v>21.2</c:v>
                </c:pt>
                <c:pt idx="2">
                  <c:v>25.5</c:v>
                </c:pt>
                <c:pt idx="3">
                  <c:v>32.9</c:v>
                </c:pt>
                <c:pt idx="4">
                  <c:v>38</c:v>
                </c:pt>
                <c:pt idx="5">
                  <c:v>38.299999999999997</c:v>
                </c:pt>
                <c:pt idx="6">
                  <c:v>33.4</c:v>
                </c:pt>
                <c:pt idx="7">
                  <c:v>40.4</c:v>
                </c:pt>
                <c:pt idx="8">
                  <c:v>34.6</c:v>
                </c:pt>
                <c:pt idx="9">
                  <c:v>35.6</c:v>
                </c:pt>
              </c:numCache>
            </c:numRef>
          </c:val>
          <c:smooth val="0"/>
          <c:extLst>
            <c:ext xmlns:c16="http://schemas.microsoft.com/office/drawing/2014/chart" uri="{C3380CC4-5D6E-409C-BE32-E72D297353CC}">
              <c16:uniqueId val="{00000001-D84C-4D50-A870-771E890EA62B}"/>
            </c:ext>
          </c:extLst>
        </c:ser>
        <c:ser>
          <c:idx val="2"/>
          <c:order val="2"/>
          <c:tx>
            <c:strRef>
              <c:f>'Alcohol, smoking gambling'!$A$89</c:f>
              <c:strCache>
                <c:ptCount val="1"/>
                <c:pt idx="0">
                  <c:v>Darebin</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gambling'!$B$89:$K$89</c:f>
              <c:numCache>
                <c:formatCode>General</c:formatCode>
                <c:ptCount val="10"/>
                <c:pt idx="0">
                  <c:v>52.9</c:v>
                </c:pt>
                <c:pt idx="1">
                  <c:v>43.7</c:v>
                </c:pt>
                <c:pt idx="2">
                  <c:v>43.2</c:v>
                </c:pt>
                <c:pt idx="3">
                  <c:v>43.7</c:v>
                </c:pt>
                <c:pt idx="4">
                  <c:v>43.7</c:v>
                </c:pt>
                <c:pt idx="5">
                  <c:v>41</c:v>
                </c:pt>
                <c:pt idx="6">
                  <c:v>42.1</c:v>
                </c:pt>
                <c:pt idx="7">
                  <c:v>42.8</c:v>
                </c:pt>
                <c:pt idx="8">
                  <c:v>41.3</c:v>
                </c:pt>
                <c:pt idx="9">
                  <c:v>48.3</c:v>
                </c:pt>
              </c:numCache>
            </c:numRef>
          </c:val>
          <c:smooth val="0"/>
          <c:extLst>
            <c:ext xmlns:c16="http://schemas.microsoft.com/office/drawing/2014/chart" uri="{C3380CC4-5D6E-409C-BE32-E72D297353CC}">
              <c16:uniqueId val="{00000002-D84C-4D50-A870-771E890EA62B}"/>
            </c:ext>
          </c:extLst>
        </c:ser>
        <c:ser>
          <c:idx val="3"/>
          <c:order val="3"/>
          <c:tx>
            <c:strRef>
              <c:f>'Alcohol, smoking gambling'!$A$90</c:f>
              <c:strCache>
                <c:ptCount val="1"/>
                <c:pt idx="0">
                  <c:v>Hobsons Bay</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gambling'!$B$90:$K$90</c:f>
              <c:numCache>
                <c:formatCode>General</c:formatCode>
                <c:ptCount val="10"/>
                <c:pt idx="0">
                  <c:v>38.4</c:v>
                </c:pt>
                <c:pt idx="1">
                  <c:v>33.5</c:v>
                </c:pt>
                <c:pt idx="2">
                  <c:v>42.3</c:v>
                </c:pt>
                <c:pt idx="3">
                  <c:v>45.7</c:v>
                </c:pt>
                <c:pt idx="4">
                  <c:v>88.9</c:v>
                </c:pt>
                <c:pt idx="5">
                  <c:v>48.6</c:v>
                </c:pt>
                <c:pt idx="6">
                  <c:v>43</c:v>
                </c:pt>
                <c:pt idx="7">
                  <c:v>70.099999999999994</c:v>
                </c:pt>
                <c:pt idx="8">
                  <c:v>68.3</c:v>
                </c:pt>
                <c:pt idx="9">
                  <c:v>51.5</c:v>
                </c:pt>
              </c:numCache>
            </c:numRef>
          </c:val>
          <c:smooth val="0"/>
          <c:extLst>
            <c:ext xmlns:c16="http://schemas.microsoft.com/office/drawing/2014/chart" uri="{C3380CC4-5D6E-409C-BE32-E72D297353CC}">
              <c16:uniqueId val="{00000003-D84C-4D50-A870-771E890EA62B}"/>
            </c:ext>
          </c:extLst>
        </c:ser>
        <c:ser>
          <c:idx val="4"/>
          <c:order val="4"/>
          <c:tx>
            <c:strRef>
              <c:f>'Alcohol, smoking gambling'!$A$91</c:f>
              <c:strCache>
                <c:ptCount val="1"/>
                <c:pt idx="0">
                  <c:v>Hume</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gambling'!$B$91:$K$91</c:f>
              <c:numCache>
                <c:formatCode>General</c:formatCode>
                <c:ptCount val="10"/>
                <c:pt idx="0">
                  <c:v>26.3</c:v>
                </c:pt>
                <c:pt idx="1">
                  <c:v>31</c:v>
                </c:pt>
                <c:pt idx="2">
                  <c:v>26</c:v>
                </c:pt>
                <c:pt idx="3">
                  <c:v>26.2</c:v>
                </c:pt>
                <c:pt idx="4">
                  <c:v>29.8</c:v>
                </c:pt>
                <c:pt idx="5">
                  <c:v>29.2</c:v>
                </c:pt>
                <c:pt idx="6">
                  <c:v>29.2</c:v>
                </c:pt>
                <c:pt idx="7">
                  <c:v>36.1</c:v>
                </c:pt>
                <c:pt idx="8">
                  <c:v>29.3</c:v>
                </c:pt>
                <c:pt idx="9">
                  <c:v>33.299999999999997</c:v>
                </c:pt>
              </c:numCache>
            </c:numRef>
          </c:val>
          <c:smooth val="0"/>
          <c:extLst>
            <c:ext xmlns:c16="http://schemas.microsoft.com/office/drawing/2014/chart" uri="{C3380CC4-5D6E-409C-BE32-E72D297353CC}">
              <c16:uniqueId val="{00000004-D84C-4D50-A870-771E890EA62B}"/>
            </c:ext>
          </c:extLst>
        </c:ser>
        <c:ser>
          <c:idx val="5"/>
          <c:order val="5"/>
          <c:tx>
            <c:strRef>
              <c:f>'Alcohol, smoking gambling'!$A$92</c:f>
              <c:strCache>
                <c:ptCount val="1"/>
                <c:pt idx="0">
                  <c:v>Maribyrnong</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gambling'!$B$92:$K$92</c:f>
              <c:numCache>
                <c:formatCode>General</c:formatCode>
                <c:ptCount val="10"/>
                <c:pt idx="0">
                  <c:v>40.200000000000003</c:v>
                </c:pt>
                <c:pt idx="1">
                  <c:v>39.1</c:v>
                </c:pt>
                <c:pt idx="2">
                  <c:v>38.5</c:v>
                </c:pt>
                <c:pt idx="3">
                  <c:v>43.6</c:v>
                </c:pt>
                <c:pt idx="4">
                  <c:v>56.1</c:v>
                </c:pt>
                <c:pt idx="5">
                  <c:v>51.1</c:v>
                </c:pt>
                <c:pt idx="6">
                  <c:v>52.5</c:v>
                </c:pt>
                <c:pt idx="7">
                  <c:v>56.7</c:v>
                </c:pt>
                <c:pt idx="8">
                  <c:v>56.2</c:v>
                </c:pt>
                <c:pt idx="9">
                  <c:v>54.1</c:v>
                </c:pt>
              </c:numCache>
            </c:numRef>
          </c:val>
          <c:smooth val="0"/>
          <c:extLst>
            <c:ext xmlns:c16="http://schemas.microsoft.com/office/drawing/2014/chart" uri="{C3380CC4-5D6E-409C-BE32-E72D297353CC}">
              <c16:uniqueId val="{00000005-D84C-4D50-A870-771E890EA62B}"/>
            </c:ext>
          </c:extLst>
        </c:ser>
        <c:ser>
          <c:idx val="6"/>
          <c:order val="6"/>
          <c:tx>
            <c:strRef>
              <c:f>'Alcohol, smoking gambling'!$A$93</c:f>
              <c:strCache>
                <c:ptCount val="1"/>
                <c:pt idx="0">
                  <c:v>Melbourne</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gambling'!$B$93:$K$93</c:f>
              <c:numCache>
                <c:formatCode>General</c:formatCode>
                <c:ptCount val="10"/>
                <c:pt idx="0">
                  <c:v>60.7</c:v>
                </c:pt>
                <c:pt idx="1">
                  <c:v>56.5</c:v>
                </c:pt>
                <c:pt idx="2">
                  <c:v>56.2</c:v>
                </c:pt>
                <c:pt idx="3">
                  <c:v>48.5</c:v>
                </c:pt>
                <c:pt idx="4">
                  <c:v>42.9</c:v>
                </c:pt>
                <c:pt idx="5">
                  <c:v>51.9</c:v>
                </c:pt>
                <c:pt idx="6">
                  <c:v>54.4</c:v>
                </c:pt>
                <c:pt idx="7">
                  <c:v>56.1</c:v>
                </c:pt>
                <c:pt idx="8">
                  <c:v>50.2</c:v>
                </c:pt>
                <c:pt idx="9">
                  <c:v>47.7</c:v>
                </c:pt>
              </c:numCache>
            </c:numRef>
          </c:val>
          <c:smooth val="0"/>
          <c:extLst>
            <c:ext xmlns:c16="http://schemas.microsoft.com/office/drawing/2014/chart" uri="{C3380CC4-5D6E-409C-BE32-E72D297353CC}">
              <c16:uniqueId val="{00000006-D84C-4D50-A870-771E890EA62B}"/>
            </c:ext>
          </c:extLst>
        </c:ser>
        <c:ser>
          <c:idx val="7"/>
          <c:order val="7"/>
          <c:tx>
            <c:strRef>
              <c:f>'Alcohol, smoking gambling'!$A$94</c:f>
              <c:strCache>
                <c:ptCount val="1"/>
                <c:pt idx="0">
                  <c:v>Melton</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gambling'!$B$94:$K$94</c:f>
              <c:numCache>
                <c:formatCode>General</c:formatCode>
                <c:ptCount val="10"/>
                <c:pt idx="0">
                  <c:v>28.2</c:v>
                </c:pt>
                <c:pt idx="1">
                  <c:v>22</c:v>
                </c:pt>
                <c:pt idx="2">
                  <c:v>24.7</c:v>
                </c:pt>
                <c:pt idx="3">
                  <c:v>26.5</c:v>
                </c:pt>
                <c:pt idx="4">
                  <c:v>28.4</c:v>
                </c:pt>
                <c:pt idx="5">
                  <c:v>28.1</c:v>
                </c:pt>
                <c:pt idx="6">
                  <c:v>30.3</c:v>
                </c:pt>
                <c:pt idx="7">
                  <c:v>36.799999999999997</c:v>
                </c:pt>
                <c:pt idx="8">
                  <c:v>31.2</c:v>
                </c:pt>
                <c:pt idx="9">
                  <c:v>30.1</c:v>
                </c:pt>
              </c:numCache>
            </c:numRef>
          </c:val>
          <c:smooth val="0"/>
          <c:extLst>
            <c:ext xmlns:c16="http://schemas.microsoft.com/office/drawing/2014/chart" uri="{C3380CC4-5D6E-409C-BE32-E72D297353CC}">
              <c16:uniqueId val="{00000007-D84C-4D50-A870-771E890EA62B}"/>
            </c:ext>
          </c:extLst>
        </c:ser>
        <c:ser>
          <c:idx val="8"/>
          <c:order val="8"/>
          <c:tx>
            <c:strRef>
              <c:f>'Alcohol, smoking gambling'!$A$95</c:f>
              <c:strCache>
                <c:ptCount val="1"/>
                <c:pt idx="0">
                  <c:v>Moonee Valley</c:v>
                </c:pt>
              </c:strCache>
            </c:strRef>
          </c:tx>
          <c:spPr>
            <a:ln w="22225" cap="rnd">
              <a:solidFill>
                <a:srgbClr val="E55048"/>
              </a:solidFill>
              <a:round/>
            </a:ln>
            <a:effectLst/>
          </c:spPr>
          <c:marker>
            <c:symbol val="circle"/>
            <c:size val="5"/>
            <c:spPr>
              <a:solidFill>
                <a:srgbClr val="E55048"/>
              </a:solidFill>
              <a:ln w="9525">
                <a:solidFill>
                  <a:srgbClr val="E55048"/>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gambling'!$B$95:$K$95</c:f>
              <c:numCache>
                <c:formatCode>General</c:formatCode>
                <c:ptCount val="10"/>
                <c:pt idx="0">
                  <c:v>40</c:v>
                </c:pt>
                <c:pt idx="1">
                  <c:v>30.8</c:v>
                </c:pt>
                <c:pt idx="2">
                  <c:v>35.9</c:v>
                </c:pt>
                <c:pt idx="3">
                  <c:v>38.9</c:v>
                </c:pt>
                <c:pt idx="4">
                  <c:v>48.6</c:v>
                </c:pt>
                <c:pt idx="5">
                  <c:v>44.4</c:v>
                </c:pt>
                <c:pt idx="6">
                  <c:v>40.4</c:v>
                </c:pt>
                <c:pt idx="7">
                  <c:v>38.9</c:v>
                </c:pt>
                <c:pt idx="8">
                  <c:v>49.8</c:v>
                </c:pt>
                <c:pt idx="9">
                  <c:v>47.5</c:v>
                </c:pt>
              </c:numCache>
            </c:numRef>
          </c:val>
          <c:smooth val="0"/>
          <c:extLst>
            <c:ext xmlns:c16="http://schemas.microsoft.com/office/drawing/2014/chart" uri="{C3380CC4-5D6E-409C-BE32-E72D297353CC}">
              <c16:uniqueId val="{00000008-D84C-4D50-A870-771E890EA62B}"/>
            </c:ext>
          </c:extLst>
        </c:ser>
        <c:ser>
          <c:idx val="9"/>
          <c:order val="9"/>
          <c:tx>
            <c:strRef>
              <c:f>'Alcohol, smoking gambling'!$A$96</c:f>
              <c:strCache>
                <c:ptCount val="1"/>
                <c:pt idx="0">
                  <c:v>Moreland</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gambling'!$B$96:$K$96</c:f>
              <c:numCache>
                <c:formatCode>General</c:formatCode>
                <c:ptCount val="10"/>
                <c:pt idx="0">
                  <c:v>41.8</c:v>
                </c:pt>
                <c:pt idx="1">
                  <c:v>33</c:v>
                </c:pt>
                <c:pt idx="2">
                  <c:v>32.799999999999997</c:v>
                </c:pt>
                <c:pt idx="3">
                  <c:v>32.200000000000003</c:v>
                </c:pt>
                <c:pt idx="4">
                  <c:v>33.4</c:v>
                </c:pt>
                <c:pt idx="5">
                  <c:v>39.799999999999997</c:v>
                </c:pt>
                <c:pt idx="6">
                  <c:v>42.1</c:v>
                </c:pt>
                <c:pt idx="7">
                  <c:v>49.2</c:v>
                </c:pt>
                <c:pt idx="8">
                  <c:v>48.6</c:v>
                </c:pt>
                <c:pt idx="9">
                  <c:v>44.7</c:v>
                </c:pt>
              </c:numCache>
            </c:numRef>
          </c:val>
          <c:smooth val="0"/>
          <c:extLst>
            <c:ext xmlns:c16="http://schemas.microsoft.com/office/drawing/2014/chart" uri="{C3380CC4-5D6E-409C-BE32-E72D297353CC}">
              <c16:uniqueId val="{00000009-D84C-4D50-A870-771E890EA62B}"/>
            </c:ext>
          </c:extLst>
        </c:ser>
        <c:ser>
          <c:idx val="10"/>
          <c:order val="10"/>
          <c:tx>
            <c:strRef>
              <c:f>'Alcohol, smoking gambling'!$A$97</c:f>
              <c:strCache>
                <c:ptCount val="1"/>
                <c:pt idx="0">
                  <c:v>Nillumbik</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gambling'!$B$97:$K$97</c:f>
              <c:numCache>
                <c:formatCode>General</c:formatCode>
                <c:ptCount val="10"/>
                <c:pt idx="0">
                  <c:v>24.4</c:v>
                </c:pt>
                <c:pt idx="1">
                  <c:v>29.3</c:v>
                </c:pt>
                <c:pt idx="2">
                  <c:v>20.9</c:v>
                </c:pt>
                <c:pt idx="3">
                  <c:v>23.9</c:v>
                </c:pt>
                <c:pt idx="4">
                  <c:v>22.6</c:v>
                </c:pt>
                <c:pt idx="5">
                  <c:v>27</c:v>
                </c:pt>
                <c:pt idx="6">
                  <c:v>28.5</c:v>
                </c:pt>
                <c:pt idx="7">
                  <c:v>40</c:v>
                </c:pt>
                <c:pt idx="8">
                  <c:v>42.9</c:v>
                </c:pt>
                <c:pt idx="9">
                  <c:v>50.8</c:v>
                </c:pt>
              </c:numCache>
            </c:numRef>
          </c:val>
          <c:smooth val="0"/>
          <c:extLst>
            <c:ext xmlns:c16="http://schemas.microsoft.com/office/drawing/2014/chart" uri="{C3380CC4-5D6E-409C-BE32-E72D297353CC}">
              <c16:uniqueId val="{0000000A-D84C-4D50-A870-771E890EA62B}"/>
            </c:ext>
          </c:extLst>
        </c:ser>
        <c:ser>
          <c:idx val="11"/>
          <c:order val="11"/>
          <c:tx>
            <c:strRef>
              <c:f>'Alcohol, smoking gambling'!$A$98</c:f>
              <c:strCache>
                <c:ptCount val="1"/>
                <c:pt idx="0">
                  <c:v>Whittlesea</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gambling'!$B$98:$K$98</c:f>
              <c:numCache>
                <c:formatCode>General</c:formatCode>
                <c:ptCount val="10"/>
                <c:pt idx="0">
                  <c:v>22.9</c:v>
                </c:pt>
                <c:pt idx="1">
                  <c:v>33.4</c:v>
                </c:pt>
                <c:pt idx="2">
                  <c:v>29.4</c:v>
                </c:pt>
                <c:pt idx="3">
                  <c:v>26.5</c:v>
                </c:pt>
                <c:pt idx="4">
                  <c:v>30.4</c:v>
                </c:pt>
                <c:pt idx="5">
                  <c:v>32.6</c:v>
                </c:pt>
                <c:pt idx="6">
                  <c:v>31.6</c:v>
                </c:pt>
                <c:pt idx="7">
                  <c:v>28.9</c:v>
                </c:pt>
                <c:pt idx="8">
                  <c:v>29.1</c:v>
                </c:pt>
                <c:pt idx="9">
                  <c:v>25</c:v>
                </c:pt>
              </c:numCache>
            </c:numRef>
          </c:val>
          <c:smooth val="0"/>
          <c:extLst>
            <c:ext xmlns:c16="http://schemas.microsoft.com/office/drawing/2014/chart" uri="{C3380CC4-5D6E-409C-BE32-E72D297353CC}">
              <c16:uniqueId val="{0000000B-D84C-4D50-A870-771E890EA62B}"/>
            </c:ext>
          </c:extLst>
        </c:ser>
        <c:ser>
          <c:idx val="12"/>
          <c:order val="12"/>
          <c:tx>
            <c:strRef>
              <c:f>'Alcohol, smoking gambling'!$A$99</c:f>
              <c:strCache>
                <c:ptCount val="1"/>
                <c:pt idx="0">
                  <c:v>Wyndham</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gambling'!$B$99:$K$99</c:f>
              <c:numCache>
                <c:formatCode>General</c:formatCode>
                <c:ptCount val="10"/>
                <c:pt idx="0">
                  <c:v>19.899999999999999</c:v>
                </c:pt>
                <c:pt idx="1">
                  <c:v>23.1</c:v>
                </c:pt>
                <c:pt idx="2">
                  <c:v>19.600000000000001</c:v>
                </c:pt>
                <c:pt idx="3">
                  <c:v>19.899999999999999</c:v>
                </c:pt>
                <c:pt idx="4">
                  <c:v>22.6</c:v>
                </c:pt>
                <c:pt idx="5">
                  <c:v>24.5</c:v>
                </c:pt>
                <c:pt idx="6">
                  <c:v>26.2</c:v>
                </c:pt>
                <c:pt idx="7">
                  <c:v>41.5</c:v>
                </c:pt>
                <c:pt idx="8">
                  <c:v>39</c:v>
                </c:pt>
                <c:pt idx="9">
                  <c:v>29.8</c:v>
                </c:pt>
              </c:numCache>
            </c:numRef>
          </c:val>
          <c:smooth val="0"/>
          <c:extLst>
            <c:ext xmlns:c16="http://schemas.microsoft.com/office/drawing/2014/chart" uri="{C3380CC4-5D6E-409C-BE32-E72D297353CC}">
              <c16:uniqueId val="{0000000C-D84C-4D50-A870-771E890EA62B}"/>
            </c:ext>
          </c:extLst>
        </c:ser>
        <c:ser>
          <c:idx val="13"/>
          <c:order val="13"/>
          <c:tx>
            <c:strRef>
              <c:f>'Alcohol, smoking gambling'!$A$100</c:f>
              <c:strCache>
                <c:ptCount val="1"/>
                <c:pt idx="0">
                  <c:v>Yarra</c:v>
                </c:pt>
              </c:strCache>
            </c:strRef>
          </c:tx>
          <c:spPr>
            <a:ln w="12700" cap="rnd">
              <a:solidFill>
                <a:schemeClr val="bg1">
                  <a:lumMod val="75000"/>
                </a:schemeClr>
              </a:solidFill>
              <a:round/>
            </a:ln>
            <a:effectLst/>
          </c:spPr>
          <c:marker>
            <c:symbol val="none"/>
          </c:marker>
          <c:cat>
            <c:strRef>
              <c:f>'Alcohol, smoking gambling'!$B$86:$K$86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gambling'!$B$100:$K$100</c:f>
              <c:numCache>
                <c:formatCode>General</c:formatCode>
                <c:ptCount val="10"/>
                <c:pt idx="0">
                  <c:v>86.9</c:v>
                </c:pt>
                <c:pt idx="1">
                  <c:v>57.3</c:v>
                </c:pt>
                <c:pt idx="2">
                  <c:v>62.4</c:v>
                </c:pt>
                <c:pt idx="3">
                  <c:v>58.8</c:v>
                </c:pt>
                <c:pt idx="4">
                  <c:v>67.2</c:v>
                </c:pt>
                <c:pt idx="5">
                  <c:v>74.3</c:v>
                </c:pt>
                <c:pt idx="6">
                  <c:v>53.9</c:v>
                </c:pt>
                <c:pt idx="7">
                  <c:v>70.7</c:v>
                </c:pt>
                <c:pt idx="8">
                  <c:v>76.7</c:v>
                </c:pt>
                <c:pt idx="9">
                  <c:v>76.599999999999994</c:v>
                </c:pt>
              </c:numCache>
            </c:numRef>
          </c:val>
          <c:smooth val="0"/>
          <c:extLst>
            <c:ext xmlns:c16="http://schemas.microsoft.com/office/drawing/2014/chart" uri="{C3380CC4-5D6E-409C-BE32-E72D297353CC}">
              <c16:uniqueId val="{0000000D-D84C-4D50-A870-771E890EA62B}"/>
            </c:ext>
          </c:extLst>
        </c:ser>
        <c:dLbls>
          <c:showLegendKey val="0"/>
          <c:showVal val="0"/>
          <c:showCatName val="0"/>
          <c:showSerName val="0"/>
          <c:showPercent val="0"/>
          <c:showBubbleSize val="0"/>
        </c:dLbls>
        <c:smooth val="0"/>
        <c:axId val="721471560"/>
        <c:axId val="721479432"/>
      </c:lineChart>
      <c:catAx>
        <c:axId val="72147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21479432"/>
        <c:crosses val="autoZero"/>
        <c:auto val="1"/>
        <c:lblAlgn val="ctr"/>
        <c:lblOffset val="100"/>
        <c:noMultiLvlLbl val="0"/>
      </c:catAx>
      <c:valAx>
        <c:axId val="721479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AU"/>
                  <a:t>Admissions per 10,000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21471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'Alcohol, smoking gambling'!$A$108</c:f>
              <c:strCache>
                <c:ptCount val="1"/>
                <c:pt idx="0">
                  <c:v>Male</c:v>
                </c:pt>
              </c:strCache>
            </c:strRef>
          </c:tx>
          <c:spPr>
            <a:ln w="19050" cap="rnd">
              <a:solidFill>
                <a:srgbClr val="31788F"/>
              </a:solidFill>
              <a:round/>
            </a:ln>
            <a:effectLst/>
          </c:spPr>
          <c:marker>
            <c:symbol val="circle"/>
            <c:size val="5"/>
            <c:spPr>
              <a:solidFill>
                <a:srgbClr val="31788F"/>
              </a:solidFill>
              <a:ln w="9525">
                <a:solidFill>
                  <a:srgbClr val="31788F"/>
                </a:solidFill>
              </a:ln>
              <a:effectLst/>
            </c:spPr>
          </c:marker>
          <c:cat>
            <c:strRef>
              <c:f>'Alcohol, smoking gambling'!$B$107:$K$107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gambling'!$B$108:$K$108</c:f>
              <c:numCache>
                <c:formatCode>General</c:formatCode>
                <c:ptCount val="10"/>
                <c:pt idx="0">
                  <c:v>64</c:v>
                </c:pt>
                <c:pt idx="1">
                  <c:v>55</c:v>
                </c:pt>
                <c:pt idx="2">
                  <c:v>50</c:v>
                </c:pt>
                <c:pt idx="3">
                  <c:v>81</c:v>
                </c:pt>
                <c:pt idx="4">
                  <c:v>115</c:v>
                </c:pt>
                <c:pt idx="5">
                  <c:v>130</c:v>
                </c:pt>
                <c:pt idx="6">
                  <c:v>223</c:v>
                </c:pt>
                <c:pt idx="7">
                  <c:v>166</c:v>
                </c:pt>
                <c:pt idx="8">
                  <c:v>180</c:v>
                </c:pt>
                <c:pt idx="9">
                  <c:v>193</c:v>
                </c:pt>
              </c:numCache>
            </c:numRef>
          </c:val>
          <c:smooth val="0"/>
          <c:extLst>
            <c:ext xmlns:c16="http://schemas.microsoft.com/office/drawing/2014/chart" uri="{C3380CC4-5D6E-409C-BE32-E72D297353CC}">
              <c16:uniqueId val="{00000000-0A2C-4398-8ADA-D93D026C4ACA}"/>
            </c:ext>
          </c:extLst>
        </c:ser>
        <c:ser>
          <c:idx val="1"/>
          <c:order val="1"/>
          <c:tx>
            <c:strRef>
              <c:f>'Alcohol, smoking gambling'!$A$109</c:f>
              <c:strCache>
                <c:ptCount val="1"/>
                <c:pt idx="0">
                  <c:v>Female</c:v>
                </c:pt>
              </c:strCache>
            </c:strRef>
          </c:tx>
          <c:spPr>
            <a:ln w="19050" cap="rnd">
              <a:solidFill>
                <a:srgbClr val="E55048"/>
              </a:solidFill>
              <a:round/>
            </a:ln>
            <a:effectLst/>
          </c:spPr>
          <c:marker>
            <c:symbol val="circle"/>
            <c:size val="5"/>
            <c:spPr>
              <a:solidFill>
                <a:srgbClr val="E55048"/>
              </a:solidFill>
              <a:ln w="9525">
                <a:solidFill>
                  <a:srgbClr val="E55048"/>
                </a:solidFill>
              </a:ln>
              <a:effectLst/>
            </c:spPr>
          </c:marker>
          <c:cat>
            <c:strRef>
              <c:f>'Alcohol, smoking gambling'!$B$107:$K$107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gambling'!$B$109:$K$109</c:f>
              <c:numCache>
                <c:formatCode>General</c:formatCode>
                <c:ptCount val="10"/>
                <c:pt idx="0">
                  <c:v>81</c:v>
                </c:pt>
                <c:pt idx="1">
                  <c:v>29</c:v>
                </c:pt>
                <c:pt idx="2">
                  <c:v>34</c:v>
                </c:pt>
                <c:pt idx="3">
                  <c:v>51</c:v>
                </c:pt>
                <c:pt idx="4">
                  <c:v>44</c:v>
                </c:pt>
                <c:pt idx="5">
                  <c:v>61</c:v>
                </c:pt>
                <c:pt idx="6">
                  <c:v>73</c:v>
                </c:pt>
                <c:pt idx="7">
                  <c:v>77</c:v>
                </c:pt>
                <c:pt idx="8">
                  <c:v>60</c:v>
                </c:pt>
                <c:pt idx="9">
                  <c:v>117</c:v>
                </c:pt>
              </c:numCache>
            </c:numRef>
          </c:val>
          <c:smooth val="0"/>
          <c:extLst>
            <c:ext xmlns:c16="http://schemas.microsoft.com/office/drawing/2014/chart" uri="{C3380CC4-5D6E-409C-BE32-E72D297353CC}">
              <c16:uniqueId val="{00000001-0A2C-4398-8ADA-D93D026C4ACA}"/>
            </c:ext>
          </c:extLst>
        </c:ser>
        <c:dLbls>
          <c:showLegendKey val="0"/>
          <c:showVal val="0"/>
          <c:showCatName val="0"/>
          <c:showSerName val="0"/>
          <c:showPercent val="0"/>
          <c:showBubbleSize val="0"/>
        </c:dLbls>
        <c:marker val="1"/>
        <c:smooth val="0"/>
        <c:axId val="686927264"/>
        <c:axId val="686927592"/>
      </c:lineChart>
      <c:catAx>
        <c:axId val="68692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686927592"/>
        <c:crosses val="autoZero"/>
        <c:auto val="1"/>
        <c:lblAlgn val="ctr"/>
        <c:lblOffset val="100"/>
        <c:noMultiLvlLbl val="0"/>
      </c:catAx>
      <c:valAx>
        <c:axId val="686927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US"/>
                  <a:t>Number of admissions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68692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'Alcohol, smoking gambling'!$A$118</c:f>
              <c:strCache>
                <c:ptCount val="1"/>
                <c:pt idx="0">
                  <c:v>Banyule</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gambling'!$B$118:$K$118</c:f>
              <c:numCache>
                <c:formatCode>General</c:formatCode>
                <c:ptCount val="10"/>
                <c:pt idx="0">
                  <c:v>11.1</c:v>
                </c:pt>
                <c:pt idx="1">
                  <c:v>7.8</c:v>
                </c:pt>
                <c:pt idx="2">
                  <c:v>8.6999999999999993</c:v>
                </c:pt>
                <c:pt idx="3">
                  <c:v>8.6999999999999993</c:v>
                </c:pt>
                <c:pt idx="4">
                  <c:v>11.4</c:v>
                </c:pt>
                <c:pt idx="5">
                  <c:v>19.899999999999999</c:v>
                </c:pt>
                <c:pt idx="6">
                  <c:v>16.7</c:v>
                </c:pt>
                <c:pt idx="7">
                  <c:v>18.600000000000001</c:v>
                </c:pt>
                <c:pt idx="8">
                  <c:v>23.4</c:v>
                </c:pt>
                <c:pt idx="9">
                  <c:v>22.6</c:v>
                </c:pt>
              </c:numCache>
            </c:numRef>
          </c:val>
          <c:smooth val="0"/>
          <c:extLst>
            <c:ext xmlns:c16="http://schemas.microsoft.com/office/drawing/2014/chart" uri="{C3380CC4-5D6E-409C-BE32-E72D297353CC}">
              <c16:uniqueId val="{00000000-552D-4A67-B4CD-64494303E9D4}"/>
            </c:ext>
          </c:extLst>
        </c:ser>
        <c:ser>
          <c:idx val="1"/>
          <c:order val="1"/>
          <c:tx>
            <c:strRef>
              <c:f>'Alcohol, smoking gambling'!$A$119</c:f>
              <c:strCache>
                <c:ptCount val="1"/>
                <c:pt idx="0">
                  <c:v>Brimbank</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gambling'!$B$119:$K$119</c:f>
              <c:numCache>
                <c:formatCode>General</c:formatCode>
                <c:ptCount val="10"/>
                <c:pt idx="0">
                  <c:v>6.6</c:v>
                </c:pt>
                <c:pt idx="1">
                  <c:v>9.4</c:v>
                </c:pt>
                <c:pt idx="2">
                  <c:v>10.6</c:v>
                </c:pt>
                <c:pt idx="3">
                  <c:v>13.9</c:v>
                </c:pt>
                <c:pt idx="4">
                  <c:v>16</c:v>
                </c:pt>
                <c:pt idx="5">
                  <c:v>23</c:v>
                </c:pt>
                <c:pt idx="6">
                  <c:v>18.399999999999999</c:v>
                </c:pt>
                <c:pt idx="7">
                  <c:v>21.1</c:v>
                </c:pt>
                <c:pt idx="8">
                  <c:v>20.2</c:v>
                </c:pt>
                <c:pt idx="9">
                  <c:v>26.3</c:v>
                </c:pt>
              </c:numCache>
            </c:numRef>
          </c:val>
          <c:smooth val="0"/>
          <c:extLst>
            <c:ext xmlns:c16="http://schemas.microsoft.com/office/drawing/2014/chart" uri="{C3380CC4-5D6E-409C-BE32-E72D297353CC}">
              <c16:uniqueId val="{00000001-552D-4A67-B4CD-64494303E9D4}"/>
            </c:ext>
          </c:extLst>
        </c:ser>
        <c:ser>
          <c:idx val="2"/>
          <c:order val="2"/>
          <c:tx>
            <c:strRef>
              <c:f>'Alcohol, smoking gambling'!$A$120</c:f>
              <c:strCache>
                <c:ptCount val="1"/>
                <c:pt idx="0">
                  <c:v>Darebin</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gambling'!$B$120:$K$120</c:f>
              <c:numCache>
                <c:formatCode>General</c:formatCode>
                <c:ptCount val="10"/>
                <c:pt idx="0">
                  <c:v>10.5</c:v>
                </c:pt>
                <c:pt idx="1">
                  <c:v>12.3</c:v>
                </c:pt>
                <c:pt idx="2">
                  <c:v>15.7</c:v>
                </c:pt>
                <c:pt idx="3">
                  <c:v>10</c:v>
                </c:pt>
                <c:pt idx="4">
                  <c:v>11.6</c:v>
                </c:pt>
                <c:pt idx="5">
                  <c:v>16.600000000000001</c:v>
                </c:pt>
                <c:pt idx="6">
                  <c:v>19.600000000000001</c:v>
                </c:pt>
                <c:pt idx="7">
                  <c:v>23.5</c:v>
                </c:pt>
                <c:pt idx="8">
                  <c:v>20.8</c:v>
                </c:pt>
                <c:pt idx="9">
                  <c:v>26.2</c:v>
                </c:pt>
              </c:numCache>
            </c:numRef>
          </c:val>
          <c:smooth val="0"/>
          <c:extLst>
            <c:ext xmlns:c16="http://schemas.microsoft.com/office/drawing/2014/chart" uri="{C3380CC4-5D6E-409C-BE32-E72D297353CC}">
              <c16:uniqueId val="{00000002-552D-4A67-B4CD-64494303E9D4}"/>
            </c:ext>
          </c:extLst>
        </c:ser>
        <c:ser>
          <c:idx val="3"/>
          <c:order val="3"/>
          <c:tx>
            <c:strRef>
              <c:f>'Alcohol, smoking gambling'!$A$121</c:f>
              <c:strCache>
                <c:ptCount val="1"/>
                <c:pt idx="0">
                  <c:v>Hobsons Bay</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gambling'!$B$121:$K$121</c:f>
              <c:numCache>
                <c:formatCode>General</c:formatCode>
                <c:ptCount val="10"/>
                <c:pt idx="0">
                  <c:v>4.8</c:v>
                </c:pt>
                <c:pt idx="1">
                  <c:v>6.9</c:v>
                </c:pt>
                <c:pt idx="2">
                  <c:v>9.3000000000000007</c:v>
                </c:pt>
                <c:pt idx="3">
                  <c:v>9.9</c:v>
                </c:pt>
                <c:pt idx="4">
                  <c:v>12</c:v>
                </c:pt>
                <c:pt idx="5">
                  <c:v>17.7</c:v>
                </c:pt>
                <c:pt idx="6">
                  <c:v>16</c:v>
                </c:pt>
                <c:pt idx="7">
                  <c:v>19.2</c:v>
                </c:pt>
                <c:pt idx="8">
                  <c:v>14.9</c:v>
                </c:pt>
                <c:pt idx="9">
                  <c:v>21.9</c:v>
                </c:pt>
              </c:numCache>
            </c:numRef>
          </c:val>
          <c:smooth val="0"/>
          <c:extLst>
            <c:ext xmlns:c16="http://schemas.microsoft.com/office/drawing/2014/chart" uri="{C3380CC4-5D6E-409C-BE32-E72D297353CC}">
              <c16:uniqueId val="{00000003-552D-4A67-B4CD-64494303E9D4}"/>
            </c:ext>
          </c:extLst>
        </c:ser>
        <c:ser>
          <c:idx val="4"/>
          <c:order val="4"/>
          <c:tx>
            <c:strRef>
              <c:f>'Alcohol, smoking gambling'!$A$122</c:f>
              <c:strCache>
                <c:ptCount val="1"/>
                <c:pt idx="0">
                  <c:v>Hume</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gambling'!$B$122:$K$122</c:f>
              <c:numCache>
                <c:formatCode>General</c:formatCode>
                <c:ptCount val="10"/>
                <c:pt idx="0">
                  <c:v>6.8</c:v>
                </c:pt>
                <c:pt idx="1">
                  <c:v>9.5</c:v>
                </c:pt>
                <c:pt idx="2">
                  <c:v>11.6</c:v>
                </c:pt>
                <c:pt idx="3">
                  <c:v>10.1</c:v>
                </c:pt>
                <c:pt idx="4">
                  <c:v>11.5</c:v>
                </c:pt>
                <c:pt idx="5">
                  <c:v>15.8</c:v>
                </c:pt>
                <c:pt idx="6">
                  <c:v>18.3</c:v>
                </c:pt>
                <c:pt idx="7">
                  <c:v>19.2</c:v>
                </c:pt>
                <c:pt idx="8">
                  <c:v>16.5</c:v>
                </c:pt>
                <c:pt idx="9">
                  <c:v>21.5</c:v>
                </c:pt>
              </c:numCache>
            </c:numRef>
          </c:val>
          <c:smooth val="0"/>
          <c:extLst>
            <c:ext xmlns:c16="http://schemas.microsoft.com/office/drawing/2014/chart" uri="{C3380CC4-5D6E-409C-BE32-E72D297353CC}">
              <c16:uniqueId val="{00000004-552D-4A67-B4CD-64494303E9D4}"/>
            </c:ext>
          </c:extLst>
        </c:ser>
        <c:ser>
          <c:idx val="5"/>
          <c:order val="5"/>
          <c:tx>
            <c:strRef>
              <c:f>'Alcohol, smoking gambling'!$A$123</c:f>
              <c:strCache>
                <c:ptCount val="1"/>
                <c:pt idx="0">
                  <c:v>Maribyrnong</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gambling'!$B$123:$K$123</c:f>
              <c:numCache>
                <c:formatCode>General</c:formatCode>
                <c:ptCount val="10"/>
                <c:pt idx="0">
                  <c:v>9.1999999999999993</c:v>
                </c:pt>
                <c:pt idx="1">
                  <c:v>7.5</c:v>
                </c:pt>
                <c:pt idx="2">
                  <c:v>8.4</c:v>
                </c:pt>
                <c:pt idx="3">
                  <c:v>13.7</c:v>
                </c:pt>
                <c:pt idx="4">
                  <c:v>18.100000000000001</c:v>
                </c:pt>
                <c:pt idx="5">
                  <c:v>18.8</c:v>
                </c:pt>
                <c:pt idx="6">
                  <c:v>18</c:v>
                </c:pt>
                <c:pt idx="7">
                  <c:v>21.1</c:v>
                </c:pt>
                <c:pt idx="8">
                  <c:v>22.2</c:v>
                </c:pt>
                <c:pt idx="9">
                  <c:v>28.2</c:v>
                </c:pt>
              </c:numCache>
            </c:numRef>
          </c:val>
          <c:smooth val="0"/>
          <c:extLst>
            <c:ext xmlns:c16="http://schemas.microsoft.com/office/drawing/2014/chart" uri="{C3380CC4-5D6E-409C-BE32-E72D297353CC}">
              <c16:uniqueId val="{00000005-552D-4A67-B4CD-64494303E9D4}"/>
            </c:ext>
          </c:extLst>
        </c:ser>
        <c:ser>
          <c:idx val="6"/>
          <c:order val="6"/>
          <c:tx>
            <c:strRef>
              <c:f>'Alcohol, smoking gambling'!$A$124</c:f>
              <c:strCache>
                <c:ptCount val="1"/>
                <c:pt idx="0">
                  <c:v>Melbourne</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gambling'!$B$124:$K$124</c:f>
              <c:numCache>
                <c:formatCode>General</c:formatCode>
                <c:ptCount val="10"/>
                <c:pt idx="0">
                  <c:v>12.1</c:v>
                </c:pt>
                <c:pt idx="1">
                  <c:v>14.9</c:v>
                </c:pt>
                <c:pt idx="2">
                  <c:v>13.1</c:v>
                </c:pt>
                <c:pt idx="3">
                  <c:v>16.8</c:v>
                </c:pt>
                <c:pt idx="4">
                  <c:v>21.4</c:v>
                </c:pt>
                <c:pt idx="5">
                  <c:v>21.8</c:v>
                </c:pt>
                <c:pt idx="6">
                  <c:v>25.3</c:v>
                </c:pt>
                <c:pt idx="7">
                  <c:v>29</c:v>
                </c:pt>
                <c:pt idx="8">
                  <c:v>25.2</c:v>
                </c:pt>
                <c:pt idx="9">
                  <c:v>32.4</c:v>
                </c:pt>
              </c:numCache>
            </c:numRef>
          </c:val>
          <c:smooth val="0"/>
          <c:extLst>
            <c:ext xmlns:c16="http://schemas.microsoft.com/office/drawing/2014/chart" uri="{C3380CC4-5D6E-409C-BE32-E72D297353CC}">
              <c16:uniqueId val="{00000006-552D-4A67-B4CD-64494303E9D4}"/>
            </c:ext>
          </c:extLst>
        </c:ser>
        <c:ser>
          <c:idx val="7"/>
          <c:order val="7"/>
          <c:tx>
            <c:strRef>
              <c:f>'Alcohol, smoking gambling'!$A$125</c:f>
              <c:strCache>
                <c:ptCount val="1"/>
                <c:pt idx="0">
                  <c:v>Melton</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gambling'!$B$125:$K$125</c:f>
              <c:numCache>
                <c:formatCode>General</c:formatCode>
                <c:ptCount val="10"/>
                <c:pt idx="0">
                  <c:v>5.9</c:v>
                </c:pt>
                <c:pt idx="1">
                  <c:v>7.1</c:v>
                </c:pt>
                <c:pt idx="2">
                  <c:v>9.1</c:v>
                </c:pt>
                <c:pt idx="3">
                  <c:v>9.3000000000000007</c:v>
                </c:pt>
                <c:pt idx="4">
                  <c:v>14.3</c:v>
                </c:pt>
                <c:pt idx="5">
                  <c:v>16</c:v>
                </c:pt>
                <c:pt idx="6">
                  <c:v>19.100000000000001</c:v>
                </c:pt>
                <c:pt idx="7">
                  <c:v>18.8</c:v>
                </c:pt>
                <c:pt idx="8">
                  <c:v>17.8</c:v>
                </c:pt>
                <c:pt idx="9">
                  <c:v>22.2</c:v>
                </c:pt>
              </c:numCache>
            </c:numRef>
          </c:val>
          <c:smooth val="0"/>
          <c:extLst>
            <c:ext xmlns:c16="http://schemas.microsoft.com/office/drawing/2014/chart" uri="{C3380CC4-5D6E-409C-BE32-E72D297353CC}">
              <c16:uniqueId val="{00000007-552D-4A67-B4CD-64494303E9D4}"/>
            </c:ext>
          </c:extLst>
        </c:ser>
        <c:ser>
          <c:idx val="8"/>
          <c:order val="8"/>
          <c:tx>
            <c:strRef>
              <c:f>'Alcohol, smoking gambling'!$A$126</c:f>
              <c:strCache>
                <c:ptCount val="1"/>
                <c:pt idx="0">
                  <c:v>Moonee Valley</c:v>
                </c:pt>
              </c:strCache>
            </c:strRef>
          </c:tx>
          <c:spPr>
            <a:ln w="22225" cap="rnd">
              <a:solidFill>
                <a:srgbClr val="E55048"/>
              </a:solidFill>
              <a:round/>
            </a:ln>
            <a:effectLst/>
          </c:spPr>
          <c:marker>
            <c:symbol val="circle"/>
            <c:size val="5"/>
            <c:spPr>
              <a:solidFill>
                <a:srgbClr val="E55048"/>
              </a:solidFill>
              <a:ln w="9525">
                <a:solidFill>
                  <a:srgbClr val="E55048"/>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gambling'!$B$126:$K$126</c:f>
              <c:numCache>
                <c:formatCode>General</c:formatCode>
                <c:ptCount val="10"/>
                <c:pt idx="0">
                  <c:v>13.1</c:v>
                </c:pt>
                <c:pt idx="1">
                  <c:v>7.5</c:v>
                </c:pt>
                <c:pt idx="2">
                  <c:v>7.5</c:v>
                </c:pt>
                <c:pt idx="3">
                  <c:v>11.6</c:v>
                </c:pt>
                <c:pt idx="4">
                  <c:v>13.8</c:v>
                </c:pt>
                <c:pt idx="5">
                  <c:v>16.3</c:v>
                </c:pt>
                <c:pt idx="6">
                  <c:v>24.6</c:v>
                </c:pt>
                <c:pt idx="7">
                  <c:v>19.8</c:v>
                </c:pt>
                <c:pt idx="8">
                  <c:v>19.100000000000001</c:v>
                </c:pt>
                <c:pt idx="9">
                  <c:v>24.2</c:v>
                </c:pt>
              </c:numCache>
            </c:numRef>
          </c:val>
          <c:smooth val="0"/>
          <c:extLst>
            <c:ext xmlns:c16="http://schemas.microsoft.com/office/drawing/2014/chart" uri="{C3380CC4-5D6E-409C-BE32-E72D297353CC}">
              <c16:uniqueId val="{00000008-552D-4A67-B4CD-64494303E9D4}"/>
            </c:ext>
          </c:extLst>
        </c:ser>
        <c:ser>
          <c:idx val="9"/>
          <c:order val="9"/>
          <c:tx>
            <c:strRef>
              <c:f>'Alcohol, smoking gambling'!$A$127</c:f>
              <c:strCache>
                <c:ptCount val="1"/>
                <c:pt idx="0">
                  <c:v>Moreland</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gambling'!$B$127:$K$127</c:f>
              <c:numCache>
                <c:formatCode>General</c:formatCode>
                <c:ptCount val="10"/>
                <c:pt idx="0">
                  <c:v>7.5</c:v>
                </c:pt>
                <c:pt idx="1">
                  <c:v>10.5</c:v>
                </c:pt>
                <c:pt idx="2">
                  <c:v>13.4</c:v>
                </c:pt>
                <c:pt idx="3">
                  <c:v>14.7</c:v>
                </c:pt>
                <c:pt idx="4">
                  <c:v>12.6</c:v>
                </c:pt>
                <c:pt idx="5">
                  <c:v>18.100000000000001</c:v>
                </c:pt>
                <c:pt idx="6">
                  <c:v>22.6</c:v>
                </c:pt>
                <c:pt idx="7">
                  <c:v>22.7</c:v>
                </c:pt>
                <c:pt idx="8">
                  <c:v>23.1</c:v>
                </c:pt>
                <c:pt idx="9">
                  <c:v>24.8</c:v>
                </c:pt>
              </c:numCache>
            </c:numRef>
          </c:val>
          <c:smooth val="0"/>
          <c:extLst>
            <c:ext xmlns:c16="http://schemas.microsoft.com/office/drawing/2014/chart" uri="{C3380CC4-5D6E-409C-BE32-E72D297353CC}">
              <c16:uniqueId val="{00000009-552D-4A67-B4CD-64494303E9D4}"/>
            </c:ext>
          </c:extLst>
        </c:ser>
        <c:ser>
          <c:idx val="10"/>
          <c:order val="10"/>
          <c:tx>
            <c:strRef>
              <c:f>'Alcohol, smoking gambling'!$A$128</c:f>
              <c:strCache>
                <c:ptCount val="1"/>
                <c:pt idx="0">
                  <c:v>Nillumbik</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gambling'!$B$128:$K$128</c:f>
              <c:numCache>
                <c:formatCode>General</c:formatCode>
                <c:ptCount val="10"/>
                <c:pt idx="0">
                  <c:v>4.3</c:v>
                </c:pt>
                <c:pt idx="1">
                  <c:v>5.0999999999999996</c:v>
                </c:pt>
                <c:pt idx="2">
                  <c:v>9.3000000000000007</c:v>
                </c:pt>
                <c:pt idx="3">
                  <c:v>6.4</c:v>
                </c:pt>
                <c:pt idx="4">
                  <c:v>9.6</c:v>
                </c:pt>
                <c:pt idx="5">
                  <c:v>15.6</c:v>
                </c:pt>
                <c:pt idx="6">
                  <c:v>21.8</c:v>
                </c:pt>
                <c:pt idx="7">
                  <c:v>18.8</c:v>
                </c:pt>
                <c:pt idx="8">
                  <c:v>11.9</c:v>
                </c:pt>
                <c:pt idx="9">
                  <c:v>21.7</c:v>
                </c:pt>
              </c:numCache>
            </c:numRef>
          </c:val>
          <c:smooth val="0"/>
          <c:extLst>
            <c:ext xmlns:c16="http://schemas.microsoft.com/office/drawing/2014/chart" uri="{C3380CC4-5D6E-409C-BE32-E72D297353CC}">
              <c16:uniqueId val="{0000000A-552D-4A67-B4CD-64494303E9D4}"/>
            </c:ext>
          </c:extLst>
        </c:ser>
        <c:ser>
          <c:idx val="11"/>
          <c:order val="11"/>
          <c:tx>
            <c:strRef>
              <c:f>'Alcohol, smoking gambling'!$A$129</c:f>
              <c:strCache>
                <c:ptCount val="1"/>
                <c:pt idx="0">
                  <c:v>Whittlesea</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gambling'!$B$129:$K$129</c:f>
              <c:numCache>
                <c:formatCode>General</c:formatCode>
                <c:ptCount val="10"/>
                <c:pt idx="0">
                  <c:v>7.2</c:v>
                </c:pt>
                <c:pt idx="1">
                  <c:v>7.8</c:v>
                </c:pt>
                <c:pt idx="2">
                  <c:v>11</c:v>
                </c:pt>
                <c:pt idx="3">
                  <c:v>7.7</c:v>
                </c:pt>
                <c:pt idx="4">
                  <c:v>12.8</c:v>
                </c:pt>
                <c:pt idx="5">
                  <c:v>13.4</c:v>
                </c:pt>
                <c:pt idx="6">
                  <c:v>12.8</c:v>
                </c:pt>
                <c:pt idx="7">
                  <c:v>15</c:v>
                </c:pt>
                <c:pt idx="8">
                  <c:v>12.8</c:v>
                </c:pt>
                <c:pt idx="9">
                  <c:v>14.6</c:v>
                </c:pt>
              </c:numCache>
            </c:numRef>
          </c:val>
          <c:smooth val="0"/>
          <c:extLst>
            <c:ext xmlns:c16="http://schemas.microsoft.com/office/drawing/2014/chart" uri="{C3380CC4-5D6E-409C-BE32-E72D297353CC}">
              <c16:uniqueId val="{0000000B-552D-4A67-B4CD-64494303E9D4}"/>
            </c:ext>
          </c:extLst>
        </c:ser>
        <c:ser>
          <c:idx val="12"/>
          <c:order val="12"/>
          <c:tx>
            <c:strRef>
              <c:f>'Alcohol, smoking gambling'!$A$130</c:f>
              <c:strCache>
                <c:ptCount val="1"/>
                <c:pt idx="0">
                  <c:v>Wyndham</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gambling'!$B$130:$K$130</c:f>
              <c:numCache>
                <c:formatCode>General</c:formatCode>
                <c:ptCount val="10"/>
                <c:pt idx="0">
                  <c:v>6.4</c:v>
                </c:pt>
                <c:pt idx="1">
                  <c:v>7.3</c:v>
                </c:pt>
                <c:pt idx="2">
                  <c:v>7.4</c:v>
                </c:pt>
                <c:pt idx="3">
                  <c:v>9.6</c:v>
                </c:pt>
                <c:pt idx="4">
                  <c:v>9</c:v>
                </c:pt>
                <c:pt idx="5">
                  <c:v>11.5</c:v>
                </c:pt>
                <c:pt idx="6">
                  <c:v>12.9</c:v>
                </c:pt>
                <c:pt idx="7">
                  <c:v>17.2</c:v>
                </c:pt>
                <c:pt idx="8">
                  <c:v>13.8</c:v>
                </c:pt>
                <c:pt idx="9">
                  <c:v>17.5</c:v>
                </c:pt>
              </c:numCache>
            </c:numRef>
          </c:val>
          <c:smooth val="0"/>
          <c:extLst>
            <c:ext xmlns:c16="http://schemas.microsoft.com/office/drawing/2014/chart" uri="{C3380CC4-5D6E-409C-BE32-E72D297353CC}">
              <c16:uniqueId val="{0000000C-552D-4A67-B4CD-64494303E9D4}"/>
            </c:ext>
          </c:extLst>
        </c:ser>
        <c:ser>
          <c:idx val="13"/>
          <c:order val="13"/>
          <c:tx>
            <c:strRef>
              <c:f>'Alcohol, smoking gambling'!$A$131</c:f>
              <c:strCache>
                <c:ptCount val="1"/>
                <c:pt idx="0">
                  <c:v>Yarra</c:v>
                </c:pt>
              </c:strCache>
            </c:strRef>
          </c:tx>
          <c:spPr>
            <a:ln w="12700" cap="rnd">
              <a:solidFill>
                <a:schemeClr val="bg1">
                  <a:lumMod val="75000"/>
                </a:schemeClr>
              </a:solidFill>
              <a:round/>
            </a:ln>
            <a:effectLst/>
          </c:spPr>
          <c:marker>
            <c:symbol val="none"/>
          </c:marker>
          <c:cat>
            <c:strRef>
              <c:f>'Alcohol, smoking gambling'!$B$117:$K$117</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'Alcohol, smoking gambling'!$B$131:$K$131</c:f>
              <c:numCache>
                <c:formatCode>General</c:formatCode>
                <c:ptCount val="10"/>
                <c:pt idx="0">
                  <c:v>14.2</c:v>
                </c:pt>
                <c:pt idx="1">
                  <c:v>12.2</c:v>
                </c:pt>
                <c:pt idx="2">
                  <c:v>12</c:v>
                </c:pt>
                <c:pt idx="3">
                  <c:v>10.5</c:v>
                </c:pt>
                <c:pt idx="4">
                  <c:v>19.600000000000001</c:v>
                </c:pt>
                <c:pt idx="5">
                  <c:v>18.3</c:v>
                </c:pt>
                <c:pt idx="6">
                  <c:v>15.9</c:v>
                </c:pt>
                <c:pt idx="7">
                  <c:v>23.6</c:v>
                </c:pt>
                <c:pt idx="8">
                  <c:v>20.9</c:v>
                </c:pt>
                <c:pt idx="9">
                  <c:v>34.9</c:v>
                </c:pt>
              </c:numCache>
            </c:numRef>
          </c:val>
          <c:smooth val="0"/>
          <c:extLst>
            <c:ext xmlns:c16="http://schemas.microsoft.com/office/drawing/2014/chart" uri="{C3380CC4-5D6E-409C-BE32-E72D297353CC}">
              <c16:uniqueId val="{0000000D-552D-4A67-B4CD-64494303E9D4}"/>
            </c:ext>
          </c:extLst>
        </c:ser>
        <c:dLbls>
          <c:showLegendKey val="0"/>
          <c:showVal val="0"/>
          <c:showCatName val="0"/>
          <c:showSerName val="0"/>
          <c:showPercent val="0"/>
          <c:showBubbleSize val="0"/>
        </c:dLbls>
        <c:smooth val="0"/>
        <c:axId val="735977360"/>
        <c:axId val="735975064"/>
      </c:lineChart>
      <c:catAx>
        <c:axId val="73597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35975064"/>
        <c:crosses val="autoZero"/>
        <c:auto val="1"/>
        <c:lblAlgn val="ctr"/>
        <c:lblOffset val="100"/>
        <c:noMultiLvlLbl val="0"/>
      </c:catAx>
      <c:valAx>
        <c:axId val="735975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US"/>
                  <a:t>Admissions per 10,000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35977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rgbClr val="E55048"/>
              </a:solidFill>
              <a:round/>
            </a:ln>
            <a:effectLst/>
          </c:spPr>
          <c:marker>
            <c:symbol val="circle"/>
            <c:size val="5"/>
            <c:spPr>
              <a:solidFill>
                <a:srgbClr val="E55048"/>
              </a:solidFill>
              <a:ln w="9525">
                <a:solidFill>
                  <a:srgbClr val="E55048"/>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'Alcohol, smoking gambling'!$C$140:$L$140</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'Alcohol, smoking gambling'!$C$141:$L$141</c:f>
              <c:numCache>
                <c:formatCode>#,##0.0</c:formatCode>
                <c:ptCount val="10"/>
                <c:pt idx="0">
                  <c:v>77.097074930000019</c:v>
                </c:pt>
                <c:pt idx="1">
                  <c:v>77.910935199999983</c:v>
                </c:pt>
                <c:pt idx="2">
                  <c:v>71.499311559999995</c:v>
                </c:pt>
                <c:pt idx="3">
                  <c:v>72.123897079999992</c:v>
                </c:pt>
                <c:pt idx="4">
                  <c:v>74.747047290000026</c:v>
                </c:pt>
                <c:pt idx="5">
                  <c:v>75.401077510000007</c:v>
                </c:pt>
                <c:pt idx="6">
                  <c:v>75.679083210000002</c:v>
                </c:pt>
                <c:pt idx="7">
                  <c:v>78.589175420000004</c:v>
                </c:pt>
                <c:pt idx="8">
                  <c:v>77.65075856</c:v>
                </c:pt>
                <c:pt idx="9">
                  <c:v>57.497773729999999</c:v>
                </c:pt>
              </c:numCache>
            </c:numRef>
          </c:val>
          <c:smooth val="0"/>
          <c:extLst>
            <c:ext xmlns:c16="http://schemas.microsoft.com/office/drawing/2014/chart" uri="{C3380CC4-5D6E-409C-BE32-E72D297353CC}">
              <c16:uniqueId val="{00000000-A031-4155-A578-CCF615FEBD56}"/>
            </c:ext>
          </c:extLst>
        </c:ser>
        <c:dLbls>
          <c:showLegendKey val="0"/>
          <c:showVal val="0"/>
          <c:showCatName val="0"/>
          <c:showSerName val="0"/>
          <c:showPercent val="0"/>
          <c:showBubbleSize val="0"/>
        </c:dLbls>
        <c:marker val="1"/>
        <c:smooth val="0"/>
        <c:axId val="723424888"/>
        <c:axId val="723426856"/>
      </c:lineChart>
      <c:catAx>
        <c:axId val="72342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23426856"/>
        <c:crosses val="autoZero"/>
        <c:auto val="1"/>
        <c:lblAlgn val="ctr"/>
        <c:lblOffset val="100"/>
        <c:noMultiLvlLbl val="0"/>
      </c:catAx>
      <c:valAx>
        <c:axId val="723426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US"/>
                  <a:t>Expenditure ($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0" sourceLinked="0"/>
        <c:majorTickMark val="none"/>
        <c:minorTickMark val="none"/>
        <c:tickLblPos val="nextTo"/>
        <c:spPr>
          <a:noFill/>
          <a:ln>
            <a:solidFill>
              <a:schemeClr val="bg1">
                <a:lumMod val="65000"/>
                <a:alpha val="94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23424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9921496299448"/>
          <c:y val="7.859620607730064E-2"/>
          <c:w val="0.81096289990778181"/>
          <c:h val="0.80886860339577282"/>
        </c:manualLayout>
      </c:layout>
      <c:barChart>
        <c:barDir val="bar"/>
        <c:grouping val="clustered"/>
        <c:varyColors val="0"/>
        <c:ser>
          <c:idx val="1"/>
          <c:order val="0"/>
          <c:tx>
            <c:strRef>
              <c:f>'Sex and age'!$E$26</c:f>
              <c:strCache>
                <c:ptCount val="1"/>
                <c:pt idx="0">
                  <c:v>Greater Melbourne</c:v>
                </c:pt>
              </c:strCache>
            </c:strRef>
          </c:tx>
          <c:spPr>
            <a:solidFill>
              <a:srgbClr val="31788F"/>
            </a:solidFill>
            <a:ln>
              <a:solidFill>
                <a:srgbClr val="31788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 and age'!$E$4:$E$21</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'Sex and age'!$H$27:$H$44</c:f>
              <c:numCache>
                <c:formatCode>0.0%</c:formatCode>
                <c:ptCount val="18"/>
                <c:pt idx="0">
                  <c:v>6.2E-2</c:v>
                </c:pt>
                <c:pt idx="1">
                  <c:v>6.2E-2</c:v>
                </c:pt>
                <c:pt idx="2">
                  <c:v>5.7000000000000002E-2</c:v>
                </c:pt>
                <c:pt idx="3">
                  <c:v>5.7000000000000002E-2</c:v>
                </c:pt>
                <c:pt idx="4">
                  <c:v>7.9000000000000001E-2</c:v>
                </c:pt>
                <c:pt idx="5">
                  <c:v>8.6999999999999994E-2</c:v>
                </c:pt>
                <c:pt idx="6">
                  <c:v>8.4999999999999992E-2</c:v>
                </c:pt>
                <c:pt idx="7">
                  <c:v>7.8E-2</c:v>
                </c:pt>
                <c:pt idx="8">
                  <c:v>6.6000000000000003E-2</c:v>
                </c:pt>
                <c:pt idx="9">
                  <c:v>6.6000000000000003E-2</c:v>
                </c:pt>
                <c:pt idx="10">
                  <c:v>5.8999999999999997E-2</c:v>
                </c:pt>
                <c:pt idx="11">
                  <c:v>5.5E-2</c:v>
                </c:pt>
                <c:pt idx="12">
                  <c:v>4.8000000000000001E-2</c:v>
                </c:pt>
                <c:pt idx="13">
                  <c:v>4.0999999999999995E-2</c:v>
                </c:pt>
                <c:pt idx="14">
                  <c:v>3.6000000000000004E-2</c:v>
                </c:pt>
                <c:pt idx="15">
                  <c:v>2.5000000000000001E-2</c:v>
                </c:pt>
                <c:pt idx="16">
                  <c:v>1.8000000000000002E-2</c:v>
                </c:pt>
                <c:pt idx="17">
                  <c:v>1.9E-2</c:v>
                </c:pt>
              </c:numCache>
            </c:numRef>
          </c:val>
          <c:extLst>
            <c:ext xmlns:c16="http://schemas.microsoft.com/office/drawing/2014/chart" uri="{C3380CC4-5D6E-409C-BE32-E72D297353CC}">
              <c16:uniqueId val="{00000000-F282-4F0D-9FE1-C1167213FC3D}"/>
            </c:ext>
          </c:extLst>
        </c:ser>
        <c:ser>
          <c:idx val="0"/>
          <c:order val="1"/>
          <c:tx>
            <c:strRef>
              <c:f>'Sex and age'!$E$3</c:f>
              <c:strCache>
                <c:ptCount val="1"/>
                <c:pt idx="0">
                  <c:v>Moonee Valley</c:v>
                </c:pt>
              </c:strCache>
            </c:strRef>
          </c:tx>
          <c:spPr>
            <a:solidFill>
              <a:srgbClr val="E55048"/>
            </a:solidFill>
            <a:ln>
              <a:noFill/>
            </a:ln>
            <a:effectLst/>
          </c:spPr>
          <c:invertIfNegative val="0"/>
          <c:dPt>
            <c:idx val="15"/>
            <c:invertIfNegative val="0"/>
            <c:bubble3D val="0"/>
            <c:spPr>
              <a:solidFill>
                <a:srgbClr val="E55048"/>
              </a:solidFill>
              <a:ln>
                <a:solidFill>
                  <a:srgbClr val="E55048"/>
                </a:solidFill>
              </a:ln>
              <a:effectLst/>
            </c:spPr>
            <c:extLst>
              <c:ext xmlns:c16="http://schemas.microsoft.com/office/drawing/2014/chart" uri="{C3380CC4-5D6E-409C-BE32-E72D297353CC}">
                <c16:uniqueId val="{00000002-F282-4F0D-9FE1-C1167213FC3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 and age'!$E$4:$E$21</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'Sex and age'!$H$4:$H$21</c:f>
              <c:numCache>
                <c:formatCode>0.0%</c:formatCode>
                <c:ptCount val="18"/>
                <c:pt idx="0">
                  <c:v>5.6027138624955869E-2</c:v>
                </c:pt>
                <c:pt idx="1">
                  <c:v>5.5182894070333249E-2</c:v>
                </c:pt>
                <c:pt idx="2">
                  <c:v>5.3839777733433618E-2</c:v>
                </c:pt>
                <c:pt idx="3">
                  <c:v>5.3655578921515956E-2</c:v>
                </c:pt>
                <c:pt idx="4">
                  <c:v>6.9665525657359506E-2</c:v>
                </c:pt>
                <c:pt idx="5">
                  <c:v>8.3679985264095036E-2</c:v>
                </c:pt>
                <c:pt idx="6">
                  <c:v>8.4631679125669643E-2</c:v>
                </c:pt>
                <c:pt idx="7">
                  <c:v>7.6127833975470863E-2</c:v>
                </c:pt>
                <c:pt idx="8">
                  <c:v>6.6626245260718073E-2</c:v>
                </c:pt>
                <c:pt idx="9">
                  <c:v>7.0287196647581623E-2</c:v>
                </c:pt>
                <c:pt idx="10">
                  <c:v>6.2988318725344217E-2</c:v>
                </c:pt>
                <c:pt idx="11">
                  <c:v>5.7953551199594763E-2</c:v>
                </c:pt>
                <c:pt idx="12">
                  <c:v>5.0685373079343635E-2</c:v>
                </c:pt>
                <c:pt idx="13">
                  <c:v>4.2780174067877264E-2</c:v>
                </c:pt>
                <c:pt idx="14">
                  <c:v>3.7484458225244446E-2</c:v>
                </c:pt>
                <c:pt idx="15">
                  <c:v>2.912643713448048E-2</c:v>
                </c:pt>
                <c:pt idx="16">
                  <c:v>2.3654197430426571E-2</c:v>
                </c:pt>
                <c:pt idx="17">
                  <c:v>2.5603634856555174E-2</c:v>
                </c:pt>
              </c:numCache>
            </c:numRef>
          </c:val>
          <c:extLst>
            <c:ext xmlns:c16="http://schemas.microsoft.com/office/drawing/2014/chart" uri="{C3380CC4-5D6E-409C-BE32-E72D297353CC}">
              <c16:uniqueId val="{00000003-F282-4F0D-9FE1-C1167213FC3D}"/>
            </c:ext>
          </c:extLst>
        </c:ser>
        <c:dLbls>
          <c:showLegendKey val="0"/>
          <c:showVal val="0"/>
          <c:showCatName val="0"/>
          <c:showSerName val="0"/>
          <c:showPercent val="0"/>
          <c:showBubbleSize val="0"/>
        </c:dLbls>
        <c:gapWidth val="60"/>
        <c:axId val="876470712"/>
        <c:axId val="876466120"/>
      </c:barChart>
      <c:catAx>
        <c:axId val="876470712"/>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group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466120"/>
        <c:crosses val="autoZero"/>
        <c:auto val="1"/>
        <c:lblAlgn val="ctr"/>
        <c:lblOffset val="100"/>
        <c:noMultiLvlLbl val="0"/>
      </c:catAx>
      <c:valAx>
        <c:axId val="876466120"/>
        <c:scaling>
          <c:orientation val="minMax"/>
          <c:max val="9.0000000000000024E-2"/>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470712"/>
        <c:crosses val="autoZero"/>
        <c:crossBetween val="between"/>
        <c:majorUnit val="2.5000000000000005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Sheet1!$A$3:$A$5</c:f>
              <c:strCache>
                <c:ptCount val="3"/>
                <c:pt idx="0">
                  <c:v>Moonee Valley</c:v>
                </c:pt>
                <c:pt idx="1">
                  <c:v>Victoria</c:v>
                </c:pt>
                <c:pt idx="2">
                  <c:v>Western Melbourne </c:v>
                </c:pt>
              </c:strCache>
            </c:strRef>
          </c:cat>
          <c:val>
            <c:numRef>
              <c:f>Sheet1!$B$3:$B$5</c:f>
              <c:numCache>
                <c:formatCode>General</c:formatCode>
                <c:ptCount val="3"/>
                <c:pt idx="0">
                  <c:v>57.7</c:v>
                </c:pt>
                <c:pt idx="1">
                  <c:v>50.9</c:v>
                </c:pt>
                <c:pt idx="2">
                  <c:v>48.5</c:v>
                </c:pt>
              </c:numCache>
            </c:numRef>
          </c:val>
          <c:extLst>
            <c:ext xmlns:c16="http://schemas.microsoft.com/office/drawing/2014/chart" uri="{C3380CC4-5D6E-409C-BE32-E72D297353CC}">
              <c16:uniqueId val="{00000000-513E-47AD-8883-1604E7A4D984}"/>
            </c:ext>
          </c:extLst>
        </c:ser>
        <c:dLbls>
          <c:showLegendKey val="0"/>
          <c:showVal val="0"/>
          <c:showCatName val="0"/>
          <c:showSerName val="0"/>
          <c:showPercent val="0"/>
          <c:showBubbleSize val="0"/>
        </c:dLbls>
        <c:gapWidth val="227"/>
        <c:overlap val="-48"/>
        <c:axId val="531743136"/>
        <c:axId val="531744120"/>
      </c:barChart>
      <c:catAx>
        <c:axId val="53174313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744120"/>
        <c:crosses val="autoZero"/>
        <c:auto val="1"/>
        <c:lblAlgn val="ctr"/>
        <c:lblOffset val="100"/>
        <c:noMultiLvlLbl val="0"/>
      </c:catAx>
      <c:valAx>
        <c:axId val="531744120"/>
        <c:scaling>
          <c:orientation val="minMax"/>
          <c:max val="100"/>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a:t>Percent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74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6A4479"/>
              </a:solidFill>
              <a:ln>
                <a:noFill/>
              </a:ln>
              <a:effectLst/>
            </c:spPr>
            <c:extLst>
              <c:ext xmlns:c16="http://schemas.microsoft.com/office/drawing/2014/chart" uri="{C3380CC4-5D6E-409C-BE32-E72D297353CC}">
                <c16:uniqueId val="{00000001-137B-4C33-B7DF-8DDD273B1146}"/>
              </c:ext>
            </c:extLst>
          </c:dPt>
          <c:dPt>
            <c:idx val="1"/>
            <c:invertIfNegative val="0"/>
            <c:bubble3D val="0"/>
            <c:spPr>
              <a:solidFill>
                <a:srgbClr val="31788F"/>
              </a:solidFill>
              <a:ln>
                <a:noFill/>
              </a:ln>
              <a:effectLst/>
            </c:spPr>
            <c:extLst>
              <c:ext xmlns:c16="http://schemas.microsoft.com/office/drawing/2014/chart" uri="{C3380CC4-5D6E-409C-BE32-E72D297353CC}">
                <c16:uniqueId val="{00000003-137B-4C33-B7DF-8DDD273B1146}"/>
              </c:ext>
            </c:extLst>
          </c:dPt>
          <c:dPt>
            <c:idx val="2"/>
            <c:invertIfNegative val="0"/>
            <c:bubble3D val="0"/>
            <c:spPr>
              <a:solidFill>
                <a:srgbClr val="E55048"/>
              </a:solidFill>
              <a:ln>
                <a:noFill/>
              </a:ln>
              <a:effectLst/>
            </c:spPr>
            <c:extLst>
              <c:ext xmlns:c16="http://schemas.microsoft.com/office/drawing/2014/chart" uri="{C3380CC4-5D6E-409C-BE32-E72D297353CC}">
                <c16:uniqueId val="{00000005-137B-4C33-B7DF-8DDD273B11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Health!$A$46:$A$48</c:f>
              <c:strCache>
                <c:ptCount val="3"/>
                <c:pt idx="0">
                  <c:v>Western Melbourne Area</c:v>
                </c:pt>
                <c:pt idx="1">
                  <c:v>Victoria </c:v>
                </c:pt>
                <c:pt idx="2">
                  <c:v>Moonee Valley</c:v>
                </c:pt>
              </c:strCache>
            </c:strRef>
          </c:cat>
          <c:val>
            <c:numRef>
              <c:f>Health!$B$46:$B$48</c:f>
              <c:numCache>
                <c:formatCode>0.0%</c:formatCode>
                <c:ptCount val="3"/>
                <c:pt idx="0">
                  <c:v>2.86E-2</c:v>
                </c:pt>
                <c:pt idx="1">
                  <c:v>3.5799999999999998E-2</c:v>
                </c:pt>
                <c:pt idx="2">
                  <c:v>3.2000000000000001E-2</c:v>
                </c:pt>
              </c:numCache>
            </c:numRef>
          </c:val>
          <c:extLst>
            <c:ext xmlns:c16="http://schemas.microsoft.com/office/drawing/2014/chart" uri="{C3380CC4-5D6E-409C-BE32-E72D297353CC}">
              <c16:uniqueId val="{00000006-137B-4C33-B7DF-8DDD273B1146}"/>
            </c:ext>
          </c:extLst>
        </c:ser>
        <c:dLbls>
          <c:showLegendKey val="0"/>
          <c:showVal val="0"/>
          <c:showCatName val="0"/>
          <c:showSerName val="0"/>
          <c:showPercent val="0"/>
          <c:showBubbleSize val="0"/>
        </c:dLbls>
        <c:gapWidth val="25"/>
        <c:axId val="720998920"/>
        <c:axId val="720998592"/>
      </c:barChart>
      <c:catAx>
        <c:axId val="720998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98592"/>
        <c:crosses val="autoZero"/>
        <c:auto val="1"/>
        <c:lblAlgn val="ctr"/>
        <c:lblOffset val="100"/>
        <c:noMultiLvlLbl val="0"/>
      </c:catAx>
      <c:valAx>
        <c:axId val="720998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manualLayout>
              <c:xMode val="edge"/>
              <c:yMode val="edge"/>
              <c:x val="0.54653040244969375"/>
              <c:y val="0.84607906390555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98920"/>
        <c:crosses val="autoZero"/>
        <c:crossBetween val="between"/>
        <c:majorUnit val="1.0000000000000002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Education!$B$28</c:f>
              <c:strCache>
                <c:ptCount val="1"/>
                <c:pt idx="0">
                  <c:v>Greater Melbourne</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Education!$A$29:$A$37</c:f>
              <c:strCache>
                <c:ptCount val="9"/>
                <c:pt idx="0">
                  <c:v>Not stated</c:v>
                </c:pt>
                <c:pt idx="1">
                  <c:v>No educational attainment</c:v>
                </c:pt>
                <c:pt idx="2">
                  <c:v>Year 9 or below</c:v>
                </c:pt>
                <c:pt idx="3">
                  <c:v>Year 10</c:v>
                </c:pt>
                <c:pt idx="4">
                  <c:v>Year 11</c:v>
                </c:pt>
                <c:pt idx="5">
                  <c:v>Year 12</c:v>
                </c:pt>
                <c:pt idx="6">
                  <c:v>Certificate I-IV</c:v>
                </c:pt>
                <c:pt idx="7">
                  <c:v>Advanced Diploma or Diploma</c:v>
                </c:pt>
                <c:pt idx="8">
                  <c:v>Bachelor Degree or Higher</c:v>
                </c:pt>
              </c:strCache>
            </c:strRef>
          </c:cat>
          <c:val>
            <c:numRef>
              <c:f>Education!$B$29:$B$37</c:f>
              <c:numCache>
                <c:formatCode>0.0%</c:formatCode>
                <c:ptCount val="9"/>
                <c:pt idx="0">
                  <c:v>9.0999999999999998E-2</c:v>
                </c:pt>
                <c:pt idx="1">
                  <c:v>1.2E-2</c:v>
                </c:pt>
                <c:pt idx="2">
                  <c:v>0.08</c:v>
                </c:pt>
                <c:pt idx="3">
                  <c:v>6.8000000000000005E-2</c:v>
                </c:pt>
                <c:pt idx="4">
                  <c:v>5.6000000000000001E-2</c:v>
                </c:pt>
                <c:pt idx="5">
                  <c:v>0.17199999999999999</c:v>
                </c:pt>
                <c:pt idx="6">
                  <c:v>0.129</c:v>
                </c:pt>
                <c:pt idx="7">
                  <c:v>9.5000000000000001E-2</c:v>
                </c:pt>
                <c:pt idx="8">
                  <c:v>0.27500000000000002</c:v>
                </c:pt>
              </c:numCache>
            </c:numRef>
          </c:val>
          <c:extLst>
            <c:ext xmlns:c16="http://schemas.microsoft.com/office/drawing/2014/chart" uri="{C3380CC4-5D6E-409C-BE32-E72D297353CC}">
              <c16:uniqueId val="{00000000-E6F2-48C5-86B2-BDAF66013E0C}"/>
            </c:ext>
          </c:extLst>
        </c:ser>
        <c:ser>
          <c:idx val="1"/>
          <c:order val="1"/>
          <c:tx>
            <c:strRef>
              <c:f>Education!$C$28</c:f>
              <c:strCache>
                <c:ptCount val="1"/>
                <c:pt idx="0">
                  <c:v>Moonee Valley</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Education!$A$29:$A$37</c:f>
              <c:strCache>
                <c:ptCount val="9"/>
                <c:pt idx="0">
                  <c:v>Not stated</c:v>
                </c:pt>
                <c:pt idx="1">
                  <c:v>No educational attainment</c:v>
                </c:pt>
                <c:pt idx="2">
                  <c:v>Year 9 or below</c:v>
                </c:pt>
                <c:pt idx="3">
                  <c:v>Year 10</c:v>
                </c:pt>
                <c:pt idx="4">
                  <c:v>Year 11</c:v>
                </c:pt>
                <c:pt idx="5">
                  <c:v>Year 12</c:v>
                </c:pt>
                <c:pt idx="6">
                  <c:v>Certificate I-IV</c:v>
                </c:pt>
                <c:pt idx="7">
                  <c:v>Advanced Diploma or Diploma</c:v>
                </c:pt>
                <c:pt idx="8">
                  <c:v>Bachelor Degree or Higher</c:v>
                </c:pt>
              </c:strCache>
            </c:strRef>
          </c:cat>
          <c:val>
            <c:numRef>
              <c:f>Education!$C$29:$C$37</c:f>
              <c:numCache>
                <c:formatCode>0.0%</c:formatCode>
                <c:ptCount val="9"/>
                <c:pt idx="0">
                  <c:v>9.2999999999999999E-2</c:v>
                </c:pt>
                <c:pt idx="1">
                  <c:v>1.2999999999999999E-2</c:v>
                </c:pt>
                <c:pt idx="2">
                  <c:v>8.6999999999999994E-2</c:v>
                </c:pt>
                <c:pt idx="3">
                  <c:v>5.7000000000000002E-2</c:v>
                </c:pt>
                <c:pt idx="4">
                  <c:v>5.0999999999999997E-2</c:v>
                </c:pt>
                <c:pt idx="5">
                  <c:v>0.16300000000000001</c:v>
                </c:pt>
                <c:pt idx="6">
                  <c:v>0.111</c:v>
                </c:pt>
                <c:pt idx="7">
                  <c:v>0.09</c:v>
                </c:pt>
                <c:pt idx="8">
                  <c:v>0.311</c:v>
                </c:pt>
              </c:numCache>
            </c:numRef>
          </c:val>
          <c:extLst>
            <c:ext xmlns:c16="http://schemas.microsoft.com/office/drawing/2014/chart" uri="{C3380CC4-5D6E-409C-BE32-E72D297353CC}">
              <c16:uniqueId val="{00000001-E6F2-48C5-86B2-BDAF66013E0C}"/>
            </c:ext>
          </c:extLst>
        </c:ser>
        <c:dLbls>
          <c:showLegendKey val="0"/>
          <c:showVal val="0"/>
          <c:showCatName val="0"/>
          <c:showSerName val="0"/>
          <c:showPercent val="0"/>
          <c:showBubbleSize val="0"/>
        </c:dLbls>
        <c:gapWidth val="25"/>
        <c:axId val="684076176"/>
        <c:axId val="684074536"/>
      </c:barChart>
      <c:catAx>
        <c:axId val="68407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074536"/>
        <c:crosses val="autoZero"/>
        <c:auto val="1"/>
        <c:lblAlgn val="ctr"/>
        <c:lblOffset val="100"/>
        <c:noMultiLvlLbl val="0"/>
      </c:catAx>
      <c:valAx>
        <c:axId val="684074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076176"/>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Employment!$B$20</c:f>
              <c:strCache>
                <c:ptCount val="1"/>
                <c:pt idx="0">
                  <c:v>Greater Melbourne</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Employment!$A$21:$A$24</c:f>
              <c:strCache>
                <c:ptCount val="4"/>
                <c:pt idx="0">
                  <c:v>Unemployed</c:v>
                </c:pt>
                <c:pt idx="1">
                  <c:v>Employed, away from work</c:v>
                </c:pt>
                <c:pt idx="2">
                  <c:v>Employed, worked part-time</c:v>
                </c:pt>
                <c:pt idx="3">
                  <c:v>Employed, worked full-time</c:v>
                </c:pt>
              </c:strCache>
            </c:strRef>
          </c:cat>
          <c:val>
            <c:numRef>
              <c:f>Employment!$B$21:$B$24</c:f>
              <c:numCache>
                <c:formatCode>0.0%</c:formatCode>
                <c:ptCount val="4"/>
                <c:pt idx="0">
                  <c:v>6.8000000000000005E-2</c:v>
                </c:pt>
                <c:pt idx="1">
                  <c:v>4.5999999999999999E-2</c:v>
                </c:pt>
                <c:pt idx="2">
                  <c:v>0.30599999999999999</c:v>
                </c:pt>
                <c:pt idx="3">
                  <c:v>0.57999999999999996</c:v>
                </c:pt>
              </c:numCache>
            </c:numRef>
          </c:val>
          <c:extLst>
            <c:ext xmlns:c16="http://schemas.microsoft.com/office/drawing/2014/chart" uri="{C3380CC4-5D6E-409C-BE32-E72D297353CC}">
              <c16:uniqueId val="{00000000-695F-4CA6-B6FA-E17D3064F076}"/>
            </c:ext>
          </c:extLst>
        </c:ser>
        <c:ser>
          <c:idx val="1"/>
          <c:order val="1"/>
          <c:tx>
            <c:strRef>
              <c:f>Employment!$C$20</c:f>
              <c:strCache>
                <c:ptCount val="1"/>
                <c:pt idx="0">
                  <c:v>Moonee Valley</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Employment!$A$21:$A$24</c:f>
              <c:strCache>
                <c:ptCount val="4"/>
                <c:pt idx="0">
                  <c:v>Unemployed</c:v>
                </c:pt>
                <c:pt idx="1">
                  <c:v>Employed, away from work</c:v>
                </c:pt>
                <c:pt idx="2">
                  <c:v>Employed, worked part-time</c:v>
                </c:pt>
                <c:pt idx="3">
                  <c:v>Employed, worked full-time</c:v>
                </c:pt>
              </c:strCache>
            </c:strRef>
          </c:cat>
          <c:val>
            <c:numRef>
              <c:f>Employment!$C$21:$C$24</c:f>
              <c:numCache>
                <c:formatCode>0.0%</c:formatCode>
                <c:ptCount val="4"/>
                <c:pt idx="0">
                  <c:v>5.7000000000000002E-2</c:v>
                </c:pt>
                <c:pt idx="1">
                  <c:v>4.7E-2</c:v>
                </c:pt>
                <c:pt idx="2">
                  <c:v>0.30399999999999999</c:v>
                </c:pt>
                <c:pt idx="3">
                  <c:v>0.59199999999999997</c:v>
                </c:pt>
              </c:numCache>
            </c:numRef>
          </c:val>
          <c:extLst>
            <c:ext xmlns:c16="http://schemas.microsoft.com/office/drawing/2014/chart" uri="{C3380CC4-5D6E-409C-BE32-E72D297353CC}">
              <c16:uniqueId val="{00000001-695F-4CA6-B6FA-E17D3064F076}"/>
            </c:ext>
          </c:extLst>
        </c:ser>
        <c:dLbls>
          <c:dLblPos val="outEnd"/>
          <c:showLegendKey val="0"/>
          <c:showVal val="1"/>
          <c:showCatName val="0"/>
          <c:showSerName val="0"/>
          <c:showPercent val="0"/>
          <c:showBubbleSize val="0"/>
        </c:dLbls>
        <c:gapWidth val="25"/>
        <c:axId val="615326656"/>
        <c:axId val="615320752"/>
      </c:barChart>
      <c:catAx>
        <c:axId val="615326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320752"/>
        <c:crosses val="autoZero"/>
        <c:auto val="1"/>
        <c:lblAlgn val="ctr"/>
        <c:lblOffset val="100"/>
        <c:noMultiLvlLbl val="0"/>
      </c:catAx>
      <c:valAx>
        <c:axId val="615320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labour force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32665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Employment!$A$126</c:f>
              <c:strCache>
                <c:ptCount val="1"/>
                <c:pt idx="0">
                  <c:v>City of Moonee Valley</c:v>
                </c:pt>
              </c:strCache>
            </c:strRef>
          </c:tx>
          <c:spPr>
            <a:ln w="22225" cap="rnd">
              <a:solidFill>
                <a:srgbClr val="E55048"/>
              </a:solidFill>
              <a:round/>
            </a:ln>
            <a:effectLst/>
          </c:spPr>
          <c:marker>
            <c:symbol val="circle"/>
            <c:size val="5"/>
            <c:spPr>
              <a:solidFill>
                <a:srgbClr val="E55048"/>
              </a:solidFill>
              <a:ln w="9525">
                <a:solidFill>
                  <a:srgbClr val="E55048"/>
                </a:solidFill>
              </a:ln>
              <a:effectLst/>
            </c:spPr>
          </c:marker>
          <c:cat>
            <c:numRef>
              <c:f>Employment!$B$125:$AM$125</c:f>
              <c:numCache>
                <c:formatCode>m\/d\/yyyy</c:formatCode>
                <c:ptCount val="38"/>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pt idx="21">
                  <c:v>42430</c:v>
                </c:pt>
                <c:pt idx="22">
                  <c:v>42522</c:v>
                </c:pt>
                <c:pt idx="23">
                  <c:v>42614</c:v>
                </c:pt>
                <c:pt idx="24">
                  <c:v>42705</c:v>
                </c:pt>
                <c:pt idx="25">
                  <c:v>42795</c:v>
                </c:pt>
                <c:pt idx="26">
                  <c:v>42887</c:v>
                </c:pt>
                <c:pt idx="27">
                  <c:v>42979</c:v>
                </c:pt>
                <c:pt idx="28">
                  <c:v>43070</c:v>
                </c:pt>
                <c:pt idx="29">
                  <c:v>43160</c:v>
                </c:pt>
                <c:pt idx="30">
                  <c:v>43252</c:v>
                </c:pt>
                <c:pt idx="31">
                  <c:v>43344</c:v>
                </c:pt>
                <c:pt idx="32">
                  <c:v>43435</c:v>
                </c:pt>
                <c:pt idx="33">
                  <c:v>43525</c:v>
                </c:pt>
                <c:pt idx="34">
                  <c:v>43617</c:v>
                </c:pt>
                <c:pt idx="35">
                  <c:v>43709</c:v>
                </c:pt>
                <c:pt idx="36">
                  <c:v>43800</c:v>
                </c:pt>
                <c:pt idx="37">
                  <c:v>43891</c:v>
                </c:pt>
              </c:numCache>
            </c:numRef>
          </c:cat>
          <c:val>
            <c:numRef>
              <c:f>Employment!$B$126:$AM$126</c:f>
              <c:numCache>
                <c:formatCode>General</c:formatCode>
                <c:ptCount val="38"/>
                <c:pt idx="0">
                  <c:v>4.4000000000000004</c:v>
                </c:pt>
                <c:pt idx="1">
                  <c:v>4.3</c:v>
                </c:pt>
                <c:pt idx="2">
                  <c:v>4</c:v>
                </c:pt>
                <c:pt idx="3">
                  <c:v>3.8</c:v>
                </c:pt>
                <c:pt idx="4">
                  <c:v>3.8</c:v>
                </c:pt>
                <c:pt idx="5">
                  <c:v>4.0999999999999996</c:v>
                </c:pt>
                <c:pt idx="6">
                  <c:v>4.3</c:v>
                </c:pt>
                <c:pt idx="7">
                  <c:v>4.4000000000000004</c:v>
                </c:pt>
                <c:pt idx="8">
                  <c:v>4.2</c:v>
                </c:pt>
                <c:pt idx="9">
                  <c:v>4.0999999999999996</c:v>
                </c:pt>
                <c:pt idx="10">
                  <c:v>4.5</c:v>
                </c:pt>
                <c:pt idx="11">
                  <c:v>5</c:v>
                </c:pt>
                <c:pt idx="12">
                  <c:v>5.5</c:v>
                </c:pt>
                <c:pt idx="13">
                  <c:v>6</c:v>
                </c:pt>
                <c:pt idx="14">
                  <c:v>5.9</c:v>
                </c:pt>
                <c:pt idx="15">
                  <c:v>5.8</c:v>
                </c:pt>
                <c:pt idx="16">
                  <c:v>5.9</c:v>
                </c:pt>
                <c:pt idx="17">
                  <c:v>5.6</c:v>
                </c:pt>
                <c:pt idx="18">
                  <c:v>5.6</c:v>
                </c:pt>
                <c:pt idx="19">
                  <c:v>5.5</c:v>
                </c:pt>
                <c:pt idx="20">
                  <c:v>5.2</c:v>
                </c:pt>
                <c:pt idx="21">
                  <c:v>5.0999999999999996</c:v>
                </c:pt>
                <c:pt idx="22">
                  <c:v>5</c:v>
                </c:pt>
                <c:pt idx="23">
                  <c:v>4.8</c:v>
                </c:pt>
                <c:pt idx="24">
                  <c:v>4.9000000000000004</c:v>
                </c:pt>
                <c:pt idx="25">
                  <c:v>4.9000000000000004</c:v>
                </c:pt>
                <c:pt idx="26">
                  <c:v>5.0999999999999996</c:v>
                </c:pt>
                <c:pt idx="27">
                  <c:v>5.3</c:v>
                </c:pt>
                <c:pt idx="28">
                  <c:v>5.2</c:v>
                </c:pt>
                <c:pt idx="29">
                  <c:v>5.2</c:v>
                </c:pt>
                <c:pt idx="30">
                  <c:v>4.8</c:v>
                </c:pt>
                <c:pt idx="31">
                  <c:v>4.5999999999999996</c:v>
                </c:pt>
                <c:pt idx="32">
                  <c:v>4.4000000000000004</c:v>
                </c:pt>
                <c:pt idx="33">
                  <c:v>4.5</c:v>
                </c:pt>
                <c:pt idx="34">
                  <c:v>4.7</c:v>
                </c:pt>
                <c:pt idx="35">
                  <c:v>4.7</c:v>
                </c:pt>
                <c:pt idx="36">
                  <c:v>4.9000000000000004</c:v>
                </c:pt>
                <c:pt idx="37">
                  <c:v>4.7</c:v>
                </c:pt>
              </c:numCache>
            </c:numRef>
          </c:val>
          <c:smooth val="0"/>
          <c:extLst>
            <c:ext xmlns:c16="http://schemas.microsoft.com/office/drawing/2014/chart" uri="{C3380CC4-5D6E-409C-BE32-E72D297353CC}">
              <c16:uniqueId val="{00000000-BE78-4C42-A271-19ACFD1D2EC0}"/>
            </c:ext>
          </c:extLst>
        </c:ser>
        <c:ser>
          <c:idx val="1"/>
          <c:order val="1"/>
          <c:tx>
            <c:strRef>
              <c:f>Employment!$A$127</c:f>
              <c:strCache>
                <c:ptCount val="1"/>
                <c:pt idx="0">
                  <c:v>Greater Melbourne</c:v>
                </c:pt>
              </c:strCache>
            </c:strRef>
          </c:tx>
          <c:spPr>
            <a:ln w="22225" cap="rnd">
              <a:solidFill>
                <a:srgbClr val="31788F"/>
              </a:solidFill>
              <a:round/>
            </a:ln>
            <a:effectLst/>
          </c:spPr>
          <c:marker>
            <c:symbol val="circle"/>
            <c:size val="5"/>
            <c:spPr>
              <a:solidFill>
                <a:srgbClr val="31788F"/>
              </a:solidFill>
              <a:ln w="9525">
                <a:solidFill>
                  <a:srgbClr val="31788F"/>
                </a:solidFill>
              </a:ln>
              <a:effectLst/>
            </c:spPr>
          </c:marker>
          <c:cat>
            <c:numRef>
              <c:f>Employment!$B$125:$AM$125</c:f>
              <c:numCache>
                <c:formatCode>m\/d\/yyyy</c:formatCode>
                <c:ptCount val="38"/>
                <c:pt idx="0">
                  <c:v>40513</c:v>
                </c:pt>
                <c:pt idx="1">
                  <c:v>40603</c:v>
                </c:pt>
                <c:pt idx="2">
                  <c:v>40695</c:v>
                </c:pt>
                <c:pt idx="3">
                  <c:v>40787</c:v>
                </c:pt>
                <c:pt idx="4">
                  <c:v>40878</c:v>
                </c:pt>
                <c:pt idx="5">
                  <c:v>40969</c:v>
                </c:pt>
                <c:pt idx="6">
                  <c:v>41061</c:v>
                </c:pt>
                <c:pt idx="7">
                  <c:v>41153</c:v>
                </c:pt>
                <c:pt idx="8">
                  <c:v>41244</c:v>
                </c:pt>
                <c:pt idx="9">
                  <c:v>41334</c:v>
                </c:pt>
                <c:pt idx="10">
                  <c:v>41426</c:v>
                </c:pt>
                <c:pt idx="11">
                  <c:v>41518</c:v>
                </c:pt>
                <c:pt idx="12">
                  <c:v>41609</c:v>
                </c:pt>
                <c:pt idx="13">
                  <c:v>41699</c:v>
                </c:pt>
                <c:pt idx="14">
                  <c:v>41791</c:v>
                </c:pt>
                <c:pt idx="15">
                  <c:v>41883</c:v>
                </c:pt>
                <c:pt idx="16">
                  <c:v>41974</c:v>
                </c:pt>
                <c:pt idx="17">
                  <c:v>42064</c:v>
                </c:pt>
                <c:pt idx="18">
                  <c:v>42156</c:v>
                </c:pt>
                <c:pt idx="19">
                  <c:v>42248</c:v>
                </c:pt>
                <c:pt idx="20">
                  <c:v>42339</c:v>
                </c:pt>
                <c:pt idx="21">
                  <c:v>42430</c:v>
                </c:pt>
                <c:pt idx="22">
                  <c:v>42522</c:v>
                </c:pt>
                <c:pt idx="23">
                  <c:v>42614</c:v>
                </c:pt>
                <c:pt idx="24">
                  <c:v>42705</c:v>
                </c:pt>
                <c:pt idx="25">
                  <c:v>42795</c:v>
                </c:pt>
                <c:pt idx="26">
                  <c:v>42887</c:v>
                </c:pt>
                <c:pt idx="27">
                  <c:v>42979</c:v>
                </c:pt>
                <c:pt idx="28">
                  <c:v>43070</c:v>
                </c:pt>
                <c:pt idx="29">
                  <c:v>43160</c:v>
                </c:pt>
                <c:pt idx="30">
                  <c:v>43252</c:v>
                </c:pt>
                <c:pt idx="31">
                  <c:v>43344</c:v>
                </c:pt>
                <c:pt idx="32">
                  <c:v>43435</c:v>
                </c:pt>
                <c:pt idx="33">
                  <c:v>43525</c:v>
                </c:pt>
                <c:pt idx="34">
                  <c:v>43617</c:v>
                </c:pt>
                <c:pt idx="35">
                  <c:v>43709</c:v>
                </c:pt>
                <c:pt idx="36">
                  <c:v>43800</c:v>
                </c:pt>
                <c:pt idx="37">
                  <c:v>43891</c:v>
                </c:pt>
              </c:numCache>
            </c:numRef>
          </c:cat>
          <c:val>
            <c:numRef>
              <c:f>Employment!$B$127:$AM$127</c:f>
              <c:numCache>
                <c:formatCode>General</c:formatCode>
                <c:ptCount val="38"/>
                <c:pt idx="0">
                  <c:v>5</c:v>
                </c:pt>
                <c:pt idx="1">
                  <c:v>4.9000000000000004</c:v>
                </c:pt>
                <c:pt idx="2">
                  <c:v>4.7</c:v>
                </c:pt>
                <c:pt idx="3">
                  <c:v>4.8</c:v>
                </c:pt>
                <c:pt idx="4">
                  <c:v>5</c:v>
                </c:pt>
                <c:pt idx="5">
                  <c:v>5.2</c:v>
                </c:pt>
                <c:pt idx="6">
                  <c:v>5.4</c:v>
                </c:pt>
                <c:pt idx="7">
                  <c:v>5.4</c:v>
                </c:pt>
                <c:pt idx="8">
                  <c:v>5.4</c:v>
                </c:pt>
                <c:pt idx="9">
                  <c:v>5.5</c:v>
                </c:pt>
                <c:pt idx="10">
                  <c:v>5.6</c:v>
                </c:pt>
                <c:pt idx="11">
                  <c:v>5.7</c:v>
                </c:pt>
                <c:pt idx="12">
                  <c:v>6</c:v>
                </c:pt>
                <c:pt idx="13">
                  <c:v>6.2</c:v>
                </c:pt>
                <c:pt idx="14">
                  <c:v>6.3</c:v>
                </c:pt>
                <c:pt idx="15">
                  <c:v>6.5</c:v>
                </c:pt>
                <c:pt idx="16">
                  <c:v>6.6</c:v>
                </c:pt>
                <c:pt idx="17">
                  <c:v>6.5</c:v>
                </c:pt>
                <c:pt idx="18">
                  <c:v>6.4</c:v>
                </c:pt>
                <c:pt idx="19">
                  <c:v>6.3</c:v>
                </c:pt>
                <c:pt idx="20">
                  <c:v>6.1</c:v>
                </c:pt>
                <c:pt idx="21">
                  <c:v>6</c:v>
                </c:pt>
                <c:pt idx="22">
                  <c:v>5.9</c:v>
                </c:pt>
                <c:pt idx="23">
                  <c:v>5.7</c:v>
                </c:pt>
                <c:pt idx="24">
                  <c:v>5.8</c:v>
                </c:pt>
                <c:pt idx="25">
                  <c:v>5.8</c:v>
                </c:pt>
                <c:pt idx="26">
                  <c:v>6</c:v>
                </c:pt>
                <c:pt idx="27">
                  <c:v>6.1</c:v>
                </c:pt>
                <c:pt idx="28">
                  <c:v>6</c:v>
                </c:pt>
                <c:pt idx="29">
                  <c:v>5.9</c:v>
                </c:pt>
                <c:pt idx="30">
                  <c:v>5.6</c:v>
                </c:pt>
                <c:pt idx="31">
                  <c:v>5.3</c:v>
                </c:pt>
                <c:pt idx="32">
                  <c:v>4.9000000000000004</c:v>
                </c:pt>
                <c:pt idx="33">
                  <c:v>4.7</c:v>
                </c:pt>
                <c:pt idx="34">
                  <c:v>4.7</c:v>
                </c:pt>
                <c:pt idx="35">
                  <c:v>4.8</c:v>
                </c:pt>
                <c:pt idx="36">
                  <c:v>4.9000000000000004</c:v>
                </c:pt>
                <c:pt idx="37">
                  <c:v>5.2</c:v>
                </c:pt>
              </c:numCache>
            </c:numRef>
          </c:val>
          <c:smooth val="0"/>
          <c:extLst>
            <c:ext xmlns:c16="http://schemas.microsoft.com/office/drawing/2014/chart" uri="{C3380CC4-5D6E-409C-BE32-E72D297353CC}">
              <c16:uniqueId val="{00000001-BE78-4C42-A271-19ACFD1D2EC0}"/>
            </c:ext>
          </c:extLst>
        </c:ser>
        <c:dLbls>
          <c:showLegendKey val="0"/>
          <c:showVal val="0"/>
          <c:showCatName val="0"/>
          <c:showSerName val="0"/>
          <c:showPercent val="0"/>
          <c:showBubbleSize val="0"/>
        </c:dLbls>
        <c:marker val="1"/>
        <c:smooth val="0"/>
        <c:axId val="705877704"/>
        <c:axId val="705875408"/>
      </c:lineChart>
      <c:dateAx>
        <c:axId val="70587770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875408"/>
        <c:crosses val="autoZero"/>
        <c:auto val="1"/>
        <c:lblOffset val="100"/>
        <c:baseTimeUnit val="months"/>
        <c:majorUnit val="1"/>
        <c:majorTimeUnit val="years"/>
      </c:dateAx>
      <c:valAx>
        <c:axId val="70587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Unemployment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877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874498019903"/>
          <c:y val="0.17472063570896448"/>
          <c:w val="0.61189115494838764"/>
          <c:h val="0.57557275789992357"/>
        </c:manualLayout>
      </c:layout>
      <c:barChart>
        <c:barDir val="bar"/>
        <c:grouping val="clustered"/>
        <c:varyColors val="0"/>
        <c:ser>
          <c:idx val="0"/>
          <c:order val="0"/>
          <c:tx>
            <c:strRef>
              <c:f>Employment!$B$91</c:f>
              <c:strCache>
                <c:ptCount val="1"/>
                <c:pt idx="0">
                  <c:v>Female</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Employment!$A$92:$A$94</c:f>
              <c:strCache>
                <c:ptCount val="3"/>
                <c:pt idx="0">
                  <c:v>Weekly income greater than $1,250</c:v>
                </c:pt>
                <c:pt idx="1">
                  <c:v>Labour force participation rate</c:v>
                </c:pt>
                <c:pt idx="2">
                  <c:v>Did 15+ hours of unpaid work/week</c:v>
                </c:pt>
              </c:strCache>
            </c:strRef>
          </c:cat>
          <c:val>
            <c:numRef>
              <c:f>Employment!$B$92:$B$94</c:f>
              <c:numCache>
                <c:formatCode>0.0%</c:formatCode>
                <c:ptCount val="3"/>
                <c:pt idx="0">
                  <c:v>0.104</c:v>
                </c:pt>
                <c:pt idx="1">
                  <c:v>0.59</c:v>
                </c:pt>
                <c:pt idx="2">
                  <c:v>0.27400000000000002</c:v>
                </c:pt>
              </c:numCache>
            </c:numRef>
          </c:val>
          <c:extLst>
            <c:ext xmlns:c16="http://schemas.microsoft.com/office/drawing/2014/chart" uri="{C3380CC4-5D6E-409C-BE32-E72D297353CC}">
              <c16:uniqueId val="{00000000-74C9-4258-9CFE-FA6A2DB313B0}"/>
            </c:ext>
          </c:extLst>
        </c:ser>
        <c:ser>
          <c:idx val="1"/>
          <c:order val="1"/>
          <c:tx>
            <c:strRef>
              <c:f>Employment!$C$91</c:f>
              <c:strCache>
                <c:ptCount val="1"/>
                <c:pt idx="0">
                  <c:v>Male</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Employment!$A$92:$A$94</c:f>
              <c:strCache>
                <c:ptCount val="3"/>
                <c:pt idx="0">
                  <c:v>Weekly income greater than $1,250</c:v>
                </c:pt>
                <c:pt idx="1">
                  <c:v>Labour force participation rate</c:v>
                </c:pt>
                <c:pt idx="2">
                  <c:v>Did 15+ hours of unpaid work/week</c:v>
                </c:pt>
              </c:strCache>
            </c:strRef>
          </c:cat>
          <c:val>
            <c:numRef>
              <c:f>Employment!$C$92:$C$94</c:f>
              <c:numCache>
                <c:formatCode>0.0%</c:formatCode>
                <c:ptCount val="3"/>
                <c:pt idx="0">
                  <c:v>0.17399999999999999</c:v>
                </c:pt>
                <c:pt idx="1">
                  <c:v>0.67400000000000004</c:v>
                </c:pt>
                <c:pt idx="2">
                  <c:v>8.5999999999999993E-2</c:v>
                </c:pt>
              </c:numCache>
            </c:numRef>
          </c:val>
          <c:extLst>
            <c:ext xmlns:c16="http://schemas.microsoft.com/office/drawing/2014/chart" uri="{C3380CC4-5D6E-409C-BE32-E72D297353CC}">
              <c16:uniqueId val="{00000001-74C9-4258-9CFE-FA6A2DB313B0}"/>
            </c:ext>
          </c:extLst>
        </c:ser>
        <c:dLbls>
          <c:dLblPos val="inBase"/>
          <c:showLegendKey val="0"/>
          <c:showVal val="1"/>
          <c:showCatName val="0"/>
          <c:showSerName val="0"/>
          <c:showPercent val="0"/>
          <c:showBubbleSize val="0"/>
        </c:dLbls>
        <c:gapWidth val="25"/>
        <c:axId val="361312200"/>
        <c:axId val="361313512"/>
      </c:barChart>
      <c:catAx>
        <c:axId val="361312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13512"/>
        <c:crosses val="autoZero"/>
        <c:auto val="1"/>
        <c:lblAlgn val="ctr"/>
        <c:lblOffset val="100"/>
        <c:noMultiLvlLbl val="0"/>
      </c:catAx>
      <c:valAx>
        <c:axId val="361313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12200"/>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74804882063004"/>
          <c:y val="9.3183003461732999E-2"/>
          <c:w val="0.67489306410956051"/>
          <c:h val="0.65552785032088434"/>
        </c:manualLayout>
      </c:layout>
      <c:barChart>
        <c:barDir val="bar"/>
        <c:grouping val="clustered"/>
        <c:varyColors val="0"/>
        <c:ser>
          <c:idx val="0"/>
          <c:order val="0"/>
          <c:tx>
            <c:strRef>
              <c:f>Housing!$B$1</c:f>
              <c:strCache>
                <c:ptCount val="1"/>
                <c:pt idx="0">
                  <c:v>Greater Melbourne</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Housing!$A$2:$A$6</c:f>
              <c:strCache>
                <c:ptCount val="5"/>
                <c:pt idx="0">
                  <c:v>Tenure type not stated</c:v>
                </c:pt>
                <c:pt idx="1">
                  <c:v>Other tenure type</c:v>
                </c:pt>
                <c:pt idx="2">
                  <c:v>Rented</c:v>
                </c:pt>
                <c:pt idx="3">
                  <c:v>Owned with a mortgage</c:v>
                </c:pt>
                <c:pt idx="4">
                  <c:v>Owned outright</c:v>
                </c:pt>
              </c:strCache>
            </c:strRef>
          </c:cat>
          <c:val>
            <c:numRef>
              <c:f>Housing!$B$2:$B$6</c:f>
              <c:numCache>
                <c:formatCode>0.0%</c:formatCode>
                <c:ptCount val="5"/>
                <c:pt idx="0">
                  <c:v>2.7E-2</c:v>
                </c:pt>
                <c:pt idx="1">
                  <c:v>8.0000000000000002E-3</c:v>
                </c:pt>
                <c:pt idx="2">
                  <c:v>0.3</c:v>
                </c:pt>
                <c:pt idx="3">
                  <c:v>0.36</c:v>
                </c:pt>
                <c:pt idx="4">
                  <c:v>0.30399999999999999</c:v>
                </c:pt>
              </c:numCache>
            </c:numRef>
          </c:val>
          <c:extLst>
            <c:ext xmlns:c16="http://schemas.microsoft.com/office/drawing/2014/chart" uri="{C3380CC4-5D6E-409C-BE32-E72D297353CC}">
              <c16:uniqueId val="{00000000-5FD3-49A1-8C53-EB34933CBA02}"/>
            </c:ext>
          </c:extLst>
        </c:ser>
        <c:ser>
          <c:idx val="1"/>
          <c:order val="1"/>
          <c:tx>
            <c:strRef>
              <c:f>Housing!$C$1</c:f>
              <c:strCache>
                <c:ptCount val="1"/>
                <c:pt idx="0">
                  <c:v>Moonee Valley</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Housing!$A$2:$A$6</c:f>
              <c:strCache>
                <c:ptCount val="5"/>
                <c:pt idx="0">
                  <c:v>Tenure type not stated</c:v>
                </c:pt>
                <c:pt idx="1">
                  <c:v>Other tenure type</c:v>
                </c:pt>
                <c:pt idx="2">
                  <c:v>Rented</c:v>
                </c:pt>
                <c:pt idx="3">
                  <c:v>Owned with a mortgage</c:v>
                </c:pt>
                <c:pt idx="4">
                  <c:v>Owned outright</c:v>
                </c:pt>
              </c:strCache>
            </c:strRef>
          </c:cat>
          <c:val>
            <c:numRef>
              <c:f>Housing!$C$2:$C$6</c:f>
              <c:numCache>
                <c:formatCode>0.0%</c:formatCode>
                <c:ptCount val="5"/>
                <c:pt idx="0">
                  <c:v>2.9000000000000001E-2</c:v>
                </c:pt>
                <c:pt idx="1">
                  <c:v>6.0000000000000001E-3</c:v>
                </c:pt>
                <c:pt idx="2">
                  <c:v>0.32500000000000001</c:v>
                </c:pt>
                <c:pt idx="3">
                  <c:v>0.29099999999999998</c:v>
                </c:pt>
                <c:pt idx="4">
                  <c:v>0.35</c:v>
                </c:pt>
              </c:numCache>
            </c:numRef>
          </c:val>
          <c:extLst>
            <c:ext xmlns:c16="http://schemas.microsoft.com/office/drawing/2014/chart" uri="{C3380CC4-5D6E-409C-BE32-E72D297353CC}">
              <c16:uniqueId val="{00000001-5FD3-49A1-8C53-EB34933CBA02}"/>
            </c:ext>
          </c:extLst>
        </c:ser>
        <c:dLbls>
          <c:dLblPos val="outEnd"/>
          <c:showLegendKey val="0"/>
          <c:showVal val="1"/>
          <c:showCatName val="0"/>
          <c:showSerName val="0"/>
          <c:showPercent val="0"/>
          <c:showBubbleSize val="0"/>
        </c:dLbls>
        <c:gapWidth val="25"/>
        <c:axId val="859831064"/>
        <c:axId val="859831392"/>
      </c:barChart>
      <c:catAx>
        <c:axId val="859831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Tenure type</a:t>
                </a:r>
              </a:p>
            </c:rich>
          </c:tx>
          <c:layout>
            <c:manualLayout>
              <c:xMode val="edge"/>
              <c:yMode val="edge"/>
              <c:x val="2.2222222222222223E-2"/>
              <c:y val="0.334783829104695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831392"/>
        <c:crosses val="autoZero"/>
        <c:auto val="1"/>
        <c:lblAlgn val="ctr"/>
        <c:lblOffset val="100"/>
        <c:noMultiLvlLbl val="0"/>
      </c:catAx>
      <c:valAx>
        <c:axId val="859831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households</a:t>
                </a:r>
              </a:p>
            </c:rich>
          </c:tx>
          <c:layout>
            <c:manualLayout>
              <c:xMode val="edge"/>
              <c:yMode val="edge"/>
              <c:x val="0.49196128608923884"/>
              <c:y val="0.81907334499854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83106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Housing!$C$66</c:f>
              <c:strCache>
                <c:ptCount val="1"/>
                <c:pt idx="0">
                  <c:v>Mortgage Stress</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Housing!$A$67:$A$79</c:f>
              <c:strCache>
                <c:ptCount val="13"/>
                <c:pt idx="0">
                  <c:v>Strathmore</c:v>
                </c:pt>
                <c:pt idx="1">
                  <c:v>Aberfeldie</c:v>
                </c:pt>
                <c:pt idx="2">
                  <c:v>Strathmore Heights</c:v>
                </c:pt>
                <c:pt idx="3">
                  <c:v>Niddrie / Essendon West</c:v>
                </c:pt>
                <c:pt idx="4">
                  <c:v>Keilor East</c:v>
                </c:pt>
                <c:pt idx="5">
                  <c:v>Moonee Ponds</c:v>
                </c:pt>
                <c:pt idx="6">
                  <c:v>Airport West</c:v>
                </c:pt>
                <c:pt idx="7">
                  <c:v>Essendon</c:v>
                </c:pt>
                <c:pt idx="8">
                  <c:v>Milleara</c:v>
                </c:pt>
                <c:pt idx="9">
                  <c:v>Keilor Road / Essendon North</c:v>
                </c:pt>
                <c:pt idx="10">
                  <c:v>Avondale Heights</c:v>
                </c:pt>
                <c:pt idx="11">
                  <c:v>Ascot Vale</c:v>
                </c:pt>
                <c:pt idx="12">
                  <c:v>Flemington</c:v>
                </c:pt>
              </c:strCache>
            </c:strRef>
          </c:cat>
          <c:val>
            <c:numRef>
              <c:f>Housing!$C$67:$C$79</c:f>
              <c:numCache>
                <c:formatCode>0.0%</c:formatCode>
                <c:ptCount val="13"/>
                <c:pt idx="0">
                  <c:v>0</c:v>
                </c:pt>
                <c:pt idx="1">
                  <c:v>6.0000000000000001E-3</c:v>
                </c:pt>
                <c:pt idx="2">
                  <c:v>6.5199999999999994E-2</c:v>
                </c:pt>
                <c:pt idx="3">
                  <c:v>2.24E-2</c:v>
                </c:pt>
                <c:pt idx="4">
                  <c:v>4.3700000000000003E-2</c:v>
                </c:pt>
                <c:pt idx="5">
                  <c:v>1.9099999999999999E-2</c:v>
                </c:pt>
                <c:pt idx="6">
                  <c:v>3.9300000000000002E-2</c:v>
                </c:pt>
                <c:pt idx="7">
                  <c:v>3.1199999999999999E-2</c:v>
                </c:pt>
                <c:pt idx="8">
                  <c:v>7.4099999999999999E-2</c:v>
                </c:pt>
                <c:pt idx="9">
                  <c:v>3.5000000000000003E-2</c:v>
                </c:pt>
                <c:pt idx="10">
                  <c:v>0</c:v>
                </c:pt>
                <c:pt idx="11">
                  <c:v>1.7500000000000002E-2</c:v>
                </c:pt>
                <c:pt idx="12">
                  <c:v>7.6E-3</c:v>
                </c:pt>
              </c:numCache>
            </c:numRef>
          </c:val>
          <c:extLst>
            <c:ext xmlns:c16="http://schemas.microsoft.com/office/drawing/2014/chart" uri="{C3380CC4-5D6E-409C-BE32-E72D297353CC}">
              <c16:uniqueId val="{00000000-14B9-426E-BEA0-B422BF2F57CF}"/>
            </c:ext>
          </c:extLst>
        </c:ser>
        <c:ser>
          <c:idx val="2"/>
          <c:order val="2"/>
          <c:tx>
            <c:strRef>
              <c:f>Housing!$D$66</c:f>
              <c:strCache>
                <c:ptCount val="1"/>
                <c:pt idx="0">
                  <c:v>Rental Stress</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Housing!$A$67:$A$79</c:f>
              <c:strCache>
                <c:ptCount val="13"/>
                <c:pt idx="0">
                  <c:v>Strathmore</c:v>
                </c:pt>
                <c:pt idx="1">
                  <c:v>Aberfeldie</c:v>
                </c:pt>
                <c:pt idx="2">
                  <c:v>Strathmore Heights</c:v>
                </c:pt>
                <c:pt idx="3">
                  <c:v>Niddrie / Essendon West</c:v>
                </c:pt>
                <c:pt idx="4">
                  <c:v>Keilor East</c:v>
                </c:pt>
                <c:pt idx="5">
                  <c:v>Moonee Ponds</c:v>
                </c:pt>
                <c:pt idx="6">
                  <c:v>Airport West</c:v>
                </c:pt>
                <c:pt idx="7">
                  <c:v>Essendon</c:v>
                </c:pt>
                <c:pt idx="8">
                  <c:v>Milleara</c:v>
                </c:pt>
                <c:pt idx="9">
                  <c:v>Keilor Road / Essendon North</c:v>
                </c:pt>
                <c:pt idx="10">
                  <c:v>Avondale Heights</c:v>
                </c:pt>
                <c:pt idx="11">
                  <c:v>Ascot Vale</c:v>
                </c:pt>
                <c:pt idx="12">
                  <c:v>Flemington</c:v>
                </c:pt>
              </c:strCache>
            </c:strRef>
          </c:cat>
          <c:val>
            <c:numRef>
              <c:f>Housing!$D$67:$D$79</c:f>
              <c:numCache>
                <c:formatCode>0.0%</c:formatCode>
                <c:ptCount val="13"/>
                <c:pt idx="0">
                  <c:v>7.51E-2</c:v>
                </c:pt>
                <c:pt idx="1">
                  <c:v>3.9E-2</c:v>
                </c:pt>
                <c:pt idx="2">
                  <c:v>1.52E-2</c:v>
                </c:pt>
                <c:pt idx="3">
                  <c:v>0.1507</c:v>
                </c:pt>
                <c:pt idx="4">
                  <c:v>0.14099999999999999</c:v>
                </c:pt>
                <c:pt idx="5">
                  <c:v>0.1123</c:v>
                </c:pt>
                <c:pt idx="6">
                  <c:v>0.1895</c:v>
                </c:pt>
                <c:pt idx="7">
                  <c:v>0.16059999999999999</c:v>
                </c:pt>
                <c:pt idx="8">
                  <c:v>0.35520000000000002</c:v>
                </c:pt>
                <c:pt idx="9">
                  <c:v>0.1822</c:v>
                </c:pt>
                <c:pt idx="10">
                  <c:v>0.43020000000000003</c:v>
                </c:pt>
                <c:pt idx="11">
                  <c:v>0.25729999999999997</c:v>
                </c:pt>
                <c:pt idx="12">
                  <c:v>0.3453</c:v>
                </c:pt>
              </c:numCache>
            </c:numRef>
          </c:val>
          <c:extLst>
            <c:ext xmlns:c16="http://schemas.microsoft.com/office/drawing/2014/chart" uri="{C3380CC4-5D6E-409C-BE32-E72D297353CC}">
              <c16:uniqueId val="{00000001-14B9-426E-BEA0-B422BF2F57CF}"/>
            </c:ext>
          </c:extLst>
        </c:ser>
        <c:dLbls>
          <c:dLblPos val="outEnd"/>
          <c:showLegendKey val="0"/>
          <c:showVal val="1"/>
          <c:showCatName val="0"/>
          <c:showSerName val="0"/>
          <c:showPercent val="0"/>
          <c:showBubbleSize val="0"/>
        </c:dLbls>
        <c:gapWidth val="25"/>
        <c:axId val="674767320"/>
        <c:axId val="674787656"/>
        <c:extLst>
          <c:ext xmlns:c15="http://schemas.microsoft.com/office/drawing/2012/chart" uri="{02D57815-91ED-43cb-92C2-25804820EDAC}">
            <c15:filteredBarSeries>
              <c15:ser>
                <c:idx val="0"/>
                <c:order val="0"/>
                <c:tx>
                  <c:strRef>
                    <c:extLst>
                      <c:ext uri="{02D57815-91ED-43cb-92C2-25804820EDAC}">
                        <c15:formulaRef>
                          <c15:sqref>Housing!$B$66</c15:sqref>
                        </c15:formulaRef>
                      </c:ext>
                    </c:extLst>
                    <c:strCache>
                      <c:ptCount val="1"/>
                      <c:pt idx="0">
                        <c:v>Housing Stress (total)</c:v>
                      </c:pt>
                    </c:strCache>
                  </c:strRef>
                </c:tx>
                <c:spPr>
                  <a:solidFill>
                    <a:srgbClr val="6A44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Housing!$A$67:$A$79</c15:sqref>
                        </c15:formulaRef>
                      </c:ext>
                    </c:extLst>
                    <c:strCache>
                      <c:ptCount val="13"/>
                      <c:pt idx="0">
                        <c:v>Strathmore</c:v>
                      </c:pt>
                      <c:pt idx="1">
                        <c:v>Aberfeldie</c:v>
                      </c:pt>
                      <c:pt idx="2">
                        <c:v>Strathmore Heights</c:v>
                      </c:pt>
                      <c:pt idx="3">
                        <c:v>Niddrie / Essendon West</c:v>
                      </c:pt>
                      <c:pt idx="4">
                        <c:v>Keilor East</c:v>
                      </c:pt>
                      <c:pt idx="5">
                        <c:v>Moonee Ponds</c:v>
                      </c:pt>
                      <c:pt idx="6">
                        <c:v>Airport West</c:v>
                      </c:pt>
                      <c:pt idx="7">
                        <c:v>Essendon</c:v>
                      </c:pt>
                      <c:pt idx="8">
                        <c:v>Milleara</c:v>
                      </c:pt>
                      <c:pt idx="9">
                        <c:v>Keilor Road / Essendon North</c:v>
                      </c:pt>
                      <c:pt idx="10">
                        <c:v>Avondale Heights</c:v>
                      </c:pt>
                      <c:pt idx="11">
                        <c:v>Ascot Vale</c:v>
                      </c:pt>
                      <c:pt idx="12">
                        <c:v>Flemington</c:v>
                      </c:pt>
                    </c:strCache>
                  </c:strRef>
                </c:cat>
                <c:val>
                  <c:numRef>
                    <c:extLst>
                      <c:ext uri="{02D57815-91ED-43cb-92C2-25804820EDAC}">
                        <c15:formulaRef>
                          <c15:sqref>Housing!$B$67:$B$79</c15:sqref>
                        </c15:formulaRef>
                      </c:ext>
                    </c:extLst>
                    <c:numCache>
                      <c:formatCode>0.0%</c:formatCode>
                      <c:ptCount val="13"/>
                      <c:pt idx="0">
                        <c:v>1.2200000000000001E-2</c:v>
                      </c:pt>
                      <c:pt idx="1">
                        <c:v>1.2800000000000001E-2</c:v>
                      </c:pt>
                      <c:pt idx="2">
                        <c:v>2.76E-2</c:v>
                      </c:pt>
                      <c:pt idx="3">
                        <c:v>4.0099999999999997E-2</c:v>
                      </c:pt>
                      <c:pt idx="4">
                        <c:v>4.0800000000000003E-2</c:v>
                      </c:pt>
                      <c:pt idx="5">
                        <c:v>4.3099999999999999E-2</c:v>
                      </c:pt>
                      <c:pt idx="6">
                        <c:v>5.8099999999999999E-2</c:v>
                      </c:pt>
                      <c:pt idx="7">
                        <c:v>6.9599999999999995E-2</c:v>
                      </c:pt>
                      <c:pt idx="8">
                        <c:v>7.6200000000000004E-2</c:v>
                      </c:pt>
                      <c:pt idx="9">
                        <c:v>7.6399999999999996E-2</c:v>
                      </c:pt>
                      <c:pt idx="10">
                        <c:v>8.6099999999999996E-2</c:v>
                      </c:pt>
                      <c:pt idx="11">
                        <c:v>0.10639999999999999</c:v>
                      </c:pt>
                      <c:pt idx="12">
                        <c:v>0.17749999999999999</c:v>
                      </c:pt>
                    </c:numCache>
                  </c:numRef>
                </c:val>
                <c:extLst>
                  <c:ext xmlns:c16="http://schemas.microsoft.com/office/drawing/2014/chart" uri="{C3380CC4-5D6E-409C-BE32-E72D297353CC}">
                    <c16:uniqueId val="{00000002-14B9-426E-BEA0-B422BF2F57CF}"/>
                  </c:ext>
                </c:extLst>
              </c15:ser>
            </c15:filteredBarSeries>
          </c:ext>
        </c:extLst>
      </c:barChart>
      <c:catAx>
        <c:axId val="674767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787656"/>
        <c:crosses val="autoZero"/>
        <c:auto val="1"/>
        <c:lblAlgn val="ctr"/>
        <c:lblOffset val="100"/>
        <c:noMultiLvlLbl val="0"/>
      </c:catAx>
      <c:valAx>
        <c:axId val="674787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of households (by tenure type)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76732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Housing!$A$113</c:f>
              <c:strCache>
                <c:ptCount val="1"/>
                <c:pt idx="0">
                  <c:v>1 Bedroom</c:v>
                </c:pt>
              </c:strCache>
            </c:strRef>
          </c:tx>
          <c:spPr>
            <a:ln w="19050" cap="rnd">
              <a:solidFill>
                <a:srgbClr val="E55048"/>
              </a:solidFill>
              <a:round/>
            </a:ln>
            <a:effectLst/>
          </c:spPr>
          <c:marker>
            <c:symbol val="circle"/>
            <c:size val="4"/>
            <c:spPr>
              <a:solidFill>
                <a:srgbClr val="E55048"/>
              </a:solidFill>
              <a:ln w="9525">
                <a:solidFill>
                  <a:srgbClr val="E55048"/>
                </a:solidFill>
              </a:ln>
              <a:effectLst/>
            </c:spPr>
          </c:marker>
          <c:cat>
            <c:strRef>
              <c:f>Housing!$V$112:$CE$112</c:f>
              <c:strCache>
                <c:ptCount val="62"/>
                <c:pt idx="0">
                  <c:v>Mar 2005</c:v>
                </c:pt>
                <c:pt idx="1">
                  <c:v>Jun 2005</c:v>
                </c:pt>
                <c:pt idx="2">
                  <c:v>Sep 2005</c:v>
                </c:pt>
                <c:pt idx="3">
                  <c:v>Dec 2005</c:v>
                </c:pt>
                <c:pt idx="4">
                  <c:v>Mar 2006</c:v>
                </c:pt>
                <c:pt idx="5">
                  <c:v>Jun 2006</c:v>
                </c:pt>
                <c:pt idx="6">
                  <c:v>Sep 2006</c:v>
                </c:pt>
                <c:pt idx="7">
                  <c:v>Dec 2006</c:v>
                </c:pt>
                <c:pt idx="8">
                  <c:v>Mar 2007</c:v>
                </c:pt>
                <c:pt idx="9">
                  <c:v>Jun 2007</c:v>
                </c:pt>
                <c:pt idx="10">
                  <c:v>Sep 2007</c:v>
                </c:pt>
                <c:pt idx="11">
                  <c:v>Dec 2007</c:v>
                </c:pt>
                <c:pt idx="12">
                  <c:v>Mar 2008</c:v>
                </c:pt>
                <c:pt idx="13">
                  <c:v>Jun 2008</c:v>
                </c:pt>
                <c:pt idx="14">
                  <c:v>Sep 2008</c:v>
                </c:pt>
                <c:pt idx="15">
                  <c:v>Dec 2008</c:v>
                </c:pt>
                <c:pt idx="16">
                  <c:v>Mar 2009</c:v>
                </c:pt>
                <c:pt idx="17">
                  <c:v>Jun 2009</c:v>
                </c:pt>
                <c:pt idx="18">
                  <c:v>Sep 2009</c:v>
                </c:pt>
                <c:pt idx="19">
                  <c:v>Dec 2009</c:v>
                </c:pt>
                <c:pt idx="20">
                  <c:v>Mar 2010</c:v>
                </c:pt>
                <c:pt idx="21">
                  <c:v>Jun 2010</c:v>
                </c:pt>
                <c:pt idx="22">
                  <c:v>Sep 2010</c:v>
                </c:pt>
                <c:pt idx="23">
                  <c:v>Dec 2010</c:v>
                </c:pt>
                <c:pt idx="24">
                  <c:v>Mar 2011</c:v>
                </c:pt>
                <c:pt idx="25">
                  <c:v>Jun 2011</c:v>
                </c:pt>
                <c:pt idx="26">
                  <c:v>Sep 2011</c:v>
                </c:pt>
                <c:pt idx="27">
                  <c:v>Dec 2011</c:v>
                </c:pt>
                <c:pt idx="28">
                  <c:v>Mar 2012</c:v>
                </c:pt>
                <c:pt idx="29">
                  <c:v>Jun 2012</c:v>
                </c:pt>
                <c:pt idx="30">
                  <c:v>Sep 2012</c:v>
                </c:pt>
                <c:pt idx="31">
                  <c:v>Dec 2012</c:v>
                </c:pt>
                <c:pt idx="32">
                  <c:v>Mar 2013</c:v>
                </c:pt>
                <c:pt idx="33">
                  <c:v>Jun 2013</c:v>
                </c:pt>
                <c:pt idx="34">
                  <c:v>Sep 2013</c:v>
                </c:pt>
                <c:pt idx="35">
                  <c:v>Dec2013</c:v>
                </c:pt>
                <c:pt idx="36">
                  <c:v>Mar 2014</c:v>
                </c:pt>
                <c:pt idx="37">
                  <c:v>Jun 2014</c:v>
                </c:pt>
                <c:pt idx="38">
                  <c:v>Sep 2014</c:v>
                </c:pt>
                <c:pt idx="39">
                  <c:v>Dec 2014</c:v>
                </c:pt>
                <c:pt idx="40">
                  <c:v>Mar 2015</c:v>
                </c:pt>
                <c:pt idx="41">
                  <c:v>Jun 2015</c:v>
                </c:pt>
                <c:pt idx="42">
                  <c:v>Sep 2015</c:v>
                </c:pt>
                <c:pt idx="43">
                  <c:v>Dec 2014</c:v>
                </c:pt>
                <c:pt idx="44">
                  <c:v>Mar 2016</c:v>
                </c:pt>
                <c:pt idx="45">
                  <c:v>Jun 2016</c:v>
                </c:pt>
                <c:pt idx="46">
                  <c:v>Sep 2016</c:v>
                </c:pt>
                <c:pt idx="47">
                  <c:v>Dec 2016</c:v>
                </c:pt>
                <c:pt idx="48">
                  <c:v>Mar 2017</c:v>
                </c:pt>
                <c:pt idx="49">
                  <c:v>June 2017</c:v>
                </c:pt>
                <c:pt idx="50">
                  <c:v>Sep 2017</c:v>
                </c:pt>
                <c:pt idx="51">
                  <c:v>Dec 2017</c:v>
                </c:pt>
                <c:pt idx="52">
                  <c:v>Mar 2018</c:v>
                </c:pt>
                <c:pt idx="53">
                  <c:v>Jun 2018</c:v>
                </c:pt>
                <c:pt idx="54">
                  <c:v>Sep 2018</c:v>
                </c:pt>
                <c:pt idx="55">
                  <c:v>Dec 2018</c:v>
                </c:pt>
                <c:pt idx="56">
                  <c:v>Mar 2019</c:v>
                </c:pt>
                <c:pt idx="57">
                  <c:v>Jun 2019</c:v>
                </c:pt>
                <c:pt idx="58">
                  <c:v>Sep 2019</c:v>
                </c:pt>
                <c:pt idx="59">
                  <c:v>Dec 2019</c:v>
                </c:pt>
                <c:pt idx="60">
                  <c:v>Mar 2020</c:v>
                </c:pt>
                <c:pt idx="61">
                  <c:v>Jun 2020</c:v>
                </c:pt>
              </c:strCache>
            </c:strRef>
          </c:cat>
          <c:val>
            <c:numRef>
              <c:f>Housing!$V$113:$CE$113</c:f>
              <c:numCache>
                <c:formatCode>#,##0</c:formatCode>
                <c:ptCount val="62"/>
                <c:pt idx="0">
                  <c:v>4</c:v>
                </c:pt>
                <c:pt idx="1">
                  <c:v>4</c:v>
                </c:pt>
                <c:pt idx="2">
                  <c:v>7</c:v>
                </c:pt>
                <c:pt idx="3">
                  <c:v>6</c:v>
                </c:pt>
                <c:pt idx="4">
                  <c:v>3</c:v>
                </c:pt>
                <c:pt idx="5">
                  <c:v>4</c:v>
                </c:pt>
                <c:pt idx="6">
                  <c:v>5</c:v>
                </c:pt>
                <c:pt idx="7">
                  <c:v>6</c:v>
                </c:pt>
                <c:pt idx="8">
                  <c:v>1</c:v>
                </c:pt>
                <c:pt idx="9">
                  <c:v>3</c:v>
                </c:pt>
                <c:pt idx="10">
                  <c:v>0</c:v>
                </c:pt>
                <c:pt idx="11">
                  <c:v>1</c:v>
                </c:pt>
                <c:pt idx="12">
                  <c:v>3</c:v>
                </c:pt>
                <c:pt idx="13">
                  <c:v>0</c:v>
                </c:pt>
                <c:pt idx="14">
                  <c:v>2</c:v>
                </c:pt>
                <c:pt idx="15">
                  <c:v>1</c:v>
                </c:pt>
                <c:pt idx="16">
                  <c:v>1</c:v>
                </c:pt>
                <c:pt idx="17">
                  <c:v>1</c:v>
                </c:pt>
                <c:pt idx="18">
                  <c:v>0</c:v>
                </c:pt>
                <c:pt idx="19">
                  <c:v>1</c:v>
                </c:pt>
                <c:pt idx="20">
                  <c:v>2</c:v>
                </c:pt>
                <c:pt idx="21">
                  <c:v>3</c:v>
                </c:pt>
                <c:pt idx="22">
                  <c:v>0</c:v>
                </c:pt>
                <c:pt idx="23">
                  <c:v>0</c:v>
                </c:pt>
                <c:pt idx="24">
                  <c:v>0</c:v>
                </c:pt>
                <c:pt idx="25">
                  <c:v>1</c:v>
                </c:pt>
                <c:pt idx="26">
                  <c:v>0</c:v>
                </c:pt>
                <c:pt idx="27">
                  <c:v>0</c:v>
                </c:pt>
                <c:pt idx="28">
                  <c:v>0</c:v>
                </c:pt>
                <c:pt idx="29">
                  <c:v>1</c:v>
                </c:pt>
                <c:pt idx="30">
                  <c:v>2</c:v>
                </c:pt>
                <c:pt idx="31">
                  <c:v>1</c:v>
                </c:pt>
                <c:pt idx="32">
                  <c:v>1</c:v>
                </c:pt>
                <c:pt idx="33">
                  <c:v>2</c:v>
                </c:pt>
                <c:pt idx="34" formatCode="General">
                  <c:v>1</c:v>
                </c:pt>
                <c:pt idx="35">
                  <c:v>0</c:v>
                </c:pt>
                <c:pt idx="36">
                  <c:v>1</c:v>
                </c:pt>
                <c:pt idx="37">
                  <c:v>1</c:v>
                </c:pt>
                <c:pt idx="38">
                  <c:v>0</c:v>
                </c:pt>
                <c:pt idx="39">
                  <c:v>1</c:v>
                </c:pt>
                <c:pt idx="40">
                  <c:v>2</c:v>
                </c:pt>
                <c:pt idx="41">
                  <c:v>3</c:v>
                </c:pt>
                <c:pt idx="42">
                  <c:v>0</c:v>
                </c:pt>
                <c:pt idx="43">
                  <c:v>1</c:v>
                </c:pt>
                <c:pt idx="44">
                  <c:v>1</c:v>
                </c:pt>
                <c:pt idx="45">
                  <c:v>0</c:v>
                </c:pt>
                <c:pt idx="46">
                  <c:v>0</c:v>
                </c:pt>
                <c:pt idx="47">
                  <c:v>1</c:v>
                </c:pt>
                <c:pt idx="48">
                  <c:v>0</c:v>
                </c:pt>
                <c:pt idx="49">
                  <c:v>2</c:v>
                </c:pt>
                <c:pt idx="50">
                  <c:v>0</c:v>
                </c:pt>
                <c:pt idx="51">
                  <c:v>0</c:v>
                </c:pt>
                <c:pt idx="52">
                  <c:v>0</c:v>
                </c:pt>
                <c:pt idx="53">
                  <c:v>0</c:v>
                </c:pt>
                <c:pt idx="54">
                  <c:v>0</c:v>
                </c:pt>
                <c:pt idx="55">
                  <c:v>0</c:v>
                </c:pt>
                <c:pt idx="56">
                  <c:v>0</c:v>
                </c:pt>
                <c:pt idx="57">
                  <c:v>0</c:v>
                </c:pt>
                <c:pt idx="58">
                  <c:v>3</c:v>
                </c:pt>
                <c:pt idx="59" formatCode="General">
                  <c:v>0</c:v>
                </c:pt>
                <c:pt idx="60" formatCode="General">
                  <c:v>0</c:v>
                </c:pt>
                <c:pt idx="61" formatCode="General">
                  <c:v>0</c:v>
                </c:pt>
              </c:numCache>
            </c:numRef>
          </c:val>
          <c:smooth val="0"/>
          <c:extLst>
            <c:ext xmlns:c16="http://schemas.microsoft.com/office/drawing/2014/chart" uri="{C3380CC4-5D6E-409C-BE32-E72D297353CC}">
              <c16:uniqueId val="{00000000-A2B4-4EC6-93B8-F61160E9F43B}"/>
            </c:ext>
          </c:extLst>
        </c:ser>
        <c:ser>
          <c:idx val="1"/>
          <c:order val="1"/>
          <c:tx>
            <c:strRef>
              <c:f>Housing!$A$114</c:f>
              <c:strCache>
                <c:ptCount val="1"/>
                <c:pt idx="0">
                  <c:v>2 Bedroom</c:v>
                </c:pt>
              </c:strCache>
            </c:strRef>
          </c:tx>
          <c:spPr>
            <a:ln w="19050" cap="rnd">
              <a:solidFill>
                <a:srgbClr val="31788F"/>
              </a:solidFill>
              <a:round/>
            </a:ln>
            <a:effectLst/>
          </c:spPr>
          <c:marker>
            <c:symbol val="circle"/>
            <c:size val="4"/>
            <c:spPr>
              <a:solidFill>
                <a:srgbClr val="31788F"/>
              </a:solidFill>
              <a:ln w="9525">
                <a:solidFill>
                  <a:srgbClr val="31788F"/>
                </a:solidFill>
              </a:ln>
              <a:effectLst/>
            </c:spPr>
          </c:marker>
          <c:cat>
            <c:strRef>
              <c:f>Housing!$V$112:$CE$112</c:f>
              <c:strCache>
                <c:ptCount val="62"/>
                <c:pt idx="0">
                  <c:v>Mar 2005</c:v>
                </c:pt>
                <c:pt idx="1">
                  <c:v>Jun 2005</c:v>
                </c:pt>
                <c:pt idx="2">
                  <c:v>Sep 2005</c:v>
                </c:pt>
                <c:pt idx="3">
                  <c:v>Dec 2005</c:v>
                </c:pt>
                <c:pt idx="4">
                  <c:v>Mar 2006</c:v>
                </c:pt>
                <c:pt idx="5">
                  <c:v>Jun 2006</c:v>
                </c:pt>
                <c:pt idx="6">
                  <c:v>Sep 2006</c:v>
                </c:pt>
                <c:pt idx="7">
                  <c:v>Dec 2006</c:v>
                </c:pt>
                <c:pt idx="8">
                  <c:v>Mar 2007</c:v>
                </c:pt>
                <c:pt idx="9">
                  <c:v>Jun 2007</c:v>
                </c:pt>
                <c:pt idx="10">
                  <c:v>Sep 2007</c:v>
                </c:pt>
                <c:pt idx="11">
                  <c:v>Dec 2007</c:v>
                </c:pt>
                <c:pt idx="12">
                  <c:v>Mar 2008</c:v>
                </c:pt>
                <c:pt idx="13">
                  <c:v>Jun 2008</c:v>
                </c:pt>
                <c:pt idx="14">
                  <c:v>Sep 2008</c:v>
                </c:pt>
                <c:pt idx="15">
                  <c:v>Dec 2008</c:v>
                </c:pt>
                <c:pt idx="16">
                  <c:v>Mar 2009</c:v>
                </c:pt>
                <c:pt idx="17">
                  <c:v>Jun 2009</c:v>
                </c:pt>
                <c:pt idx="18">
                  <c:v>Sep 2009</c:v>
                </c:pt>
                <c:pt idx="19">
                  <c:v>Dec 2009</c:v>
                </c:pt>
                <c:pt idx="20">
                  <c:v>Mar 2010</c:v>
                </c:pt>
                <c:pt idx="21">
                  <c:v>Jun 2010</c:v>
                </c:pt>
                <c:pt idx="22">
                  <c:v>Sep 2010</c:v>
                </c:pt>
                <c:pt idx="23">
                  <c:v>Dec 2010</c:v>
                </c:pt>
                <c:pt idx="24">
                  <c:v>Mar 2011</c:v>
                </c:pt>
                <c:pt idx="25">
                  <c:v>Jun 2011</c:v>
                </c:pt>
                <c:pt idx="26">
                  <c:v>Sep 2011</c:v>
                </c:pt>
                <c:pt idx="27">
                  <c:v>Dec 2011</c:v>
                </c:pt>
                <c:pt idx="28">
                  <c:v>Mar 2012</c:v>
                </c:pt>
                <c:pt idx="29">
                  <c:v>Jun 2012</c:v>
                </c:pt>
                <c:pt idx="30">
                  <c:v>Sep 2012</c:v>
                </c:pt>
                <c:pt idx="31">
                  <c:v>Dec 2012</c:v>
                </c:pt>
                <c:pt idx="32">
                  <c:v>Mar 2013</c:v>
                </c:pt>
                <c:pt idx="33">
                  <c:v>Jun 2013</c:v>
                </c:pt>
                <c:pt idx="34">
                  <c:v>Sep 2013</c:v>
                </c:pt>
                <c:pt idx="35">
                  <c:v>Dec2013</c:v>
                </c:pt>
                <c:pt idx="36">
                  <c:v>Mar 2014</c:v>
                </c:pt>
                <c:pt idx="37">
                  <c:v>Jun 2014</c:v>
                </c:pt>
                <c:pt idx="38">
                  <c:v>Sep 2014</c:v>
                </c:pt>
                <c:pt idx="39">
                  <c:v>Dec 2014</c:v>
                </c:pt>
                <c:pt idx="40">
                  <c:v>Mar 2015</c:v>
                </c:pt>
                <c:pt idx="41">
                  <c:v>Jun 2015</c:v>
                </c:pt>
                <c:pt idx="42">
                  <c:v>Sep 2015</c:v>
                </c:pt>
                <c:pt idx="43">
                  <c:v>Dec 2014</c:v>
                </c:pt>
                <c:pt idx="44">
                  <c:v>Mar 2016</c:v>
                </c:pt>
                <c:pt idx="45">
                  <c:v>Jun 2016</c:v>
                </c:pt>
                <c:pt idx="46">
                  <c:v>Sep 2016</c:v>
                </c:pt>
                <c:pt idx="47">
                  <c:v>Dec 2016</c:v>
                </c:pt>
                <c:pt idx="48">
                  <c:v>Mar 2017</c:v>
                </c:pt>
                <c:pt idx="49">
                  <c:v>June 2017</c:v>
                </c:pt>
                <c:pt idx="50">
                  <c:v>Sep 2017</c:v>
                </c:pt>
                <c:pt idx="51">
                  <c:v>Dec 2017</c:v>
                </c:pt>
                <c:pt idx="52">
                  <c:v>Mar 2018</c:v>
                </c:pt>
                <c:pt idx="53">
                  <c:v>Jun 2018</c:v>
                </c:pt>
                <c:pt idx="54">
                  <c:v>Sep 2018</c:v>
                </c:pt>
                <c:pt idx="55">
                  <c:v>Dec 2018</c:v>
                </c:pt>
                <c:pt idx="56">
                  <c:v>Mar 2019</c:v>
                </c:pt>
                <c:pt idx="57">
                  <c:v>Jun 2019</c:v>
                </c:pt>
                <c:pt idx="58">
                  <c:v>Sep 2019</c:v>
                </c:pt>
                <c:pt idx="59">
                  <c:v>Dec 2019</c:v>
                </c:pt>
                <c:pt idx="60">
                  <c:v>Mar 2020</c:v>
                </c:pt>
                <c:pt idx="61">
                  <c:v>Jun 2020</c:v>
                </c:pt>
              </c:strCache>
            </c:strRef>
          </c:cat>
          <c:val>
            <c:numRef>
              <c:f>Housing!$V$114:$CE$114</c:f>
              <c:numCache>
                <c:formatCode>#,##0</c:formatCode>
                <c:ptCount val="62"/>
                <c:pt idx="0">
                  <c:v>58</c:v>
                </c:pt>
                <c:pt idx="1">
                  <c:v>46</c:v>
                </c:pt>
                <c:pt idx="2">
                  <c:v>66</c:v>
                </c:pt>
                <c:pt idx="3">
                  <c:v>63</c:v>
                </c:pt>
                <c:pt idx="4">
                  <c:v>52</c:v>
                </c:pt>
                <c:pt idx="5">
                  <c:v>40</c:v>
                </c:pt>
                <c:pt idx="6">
                  <c:v>57</c:v>
                </c:pt>
                <c:pt idx="7">
                  <c:v>54</c:v>
                </c:pt>
                <c:pt idx="8">
                  <c:v>32</c:v>
                </c:pt>
                <c:pt idx="9">
                  <c:v>13</c:v>
                </c:pt>
                <c:pt idx="10">
                  <c:v>24</c:v>
                </c:pt>
                <c:pt idx="11">
                  <c:v>26</c:v>
                </c:pt>
                <c:pt idx="12">
                  <c:v>10</c:v>
                </c:pt>
                <c:pt idx="13">
                  <c:v>5</c:v>
                </c:pt>
                <c:pt idx="14">
                  <c:v>7</c:v>
                </c:pt>
                <c:pt idx="15">
                  <c:v>8</c:v>
                </c:pt>
                <c:pt idx="16">
                  <c:v>6</c:v>
                </c:pt>
                <c:pt idx="17">
                  <c:v>5</c:v>
                </c:pt>
                <c:pt idx="18">
                  <c:v>6</c:v>
                </c:pt>
                <c:pt idx="19">
                  <c:v>2</c:v>
                </c:pt>
                <c:pt idx="20">
                  <c:v>3</c:v>
                </c:pt>
                <c:pt idx="21">
                  <c:v>3</c:v>
                </c:pt>
                <c:pt idx="22">
                  <c:v>3</c:v>
                </c:pt>
                <c:pt idx="23">
                  <c:v>2</c:v>
                </c:pt>
                <c:pt idx="24">
                  <c:v>3</c:v>
                </c:pt>
                <c:pt idx="25">
                  <c:v>5</c:v>
                </c:pt>
                <c:pt idx="26">
                  <c:v>6</c:v>
                </c:pt>
                <c:pt idx="27">
                  <c:v>4</c:v>
                </c:pt>
                <c:pt idx="28">
                  <c:v>6</c:v>
                </c:pt>
                <c:pt idx="29">
                  <c:v>6</c:v>
                </c:pt>
                <c:pt idx="30">
                  <c:v>1</c:v>
                </c:pt>
                <c:pt idx="31">
                  <c:v>4</c:v>
                </c:pt>
                <c:pt idx="32">
                  <c:v>7</c:v>
                </c:pt>
                <c:pt idx="33">
                  <c:v>7</c:v>
                </c:pt>
                <c:pt idx="34" formatCode="General">
                  <c:v>4</c:v>
                </c:pt>
                <c:pt idx="35">
                  <c:v>6</c:v>
                </c:pt>
                <c:pt idx="36">
                  <c:v>5</c:v>
                </c:pt>
                <c:pt idx="37">
                  <c:v>4</c:v>
                </c:pt>
                <c:pt idx="38">
                  <c:v>2</c:v>
                </c:pt>
                <c:pt idx="39">
                  <c:v>2</c:v>
                </c:pt>
                <c:pt idx="40">
                  <c:v>7</c:v>
                </c:pt>
                <c:pt idx="41">
                  <c:v>5</c:v>
                </c:pt>
                <c:pt idx="42">
                  <c:v>5</c:v>
                </c:pt>
                <c:pt idx="43">
                  <c:v>16</c:v>
                </c:pt>
                <c:pt idx="44">
                  <c:v>4</c:v>
                </c:pt>
                <c:pt idx="45">
                  <c:v>4</c:v>
                </c:pt>
                <c:pt idx="46">
                  <c:v>7</c:v>
                </c:pt>
                <c:pt idx="47">
                  <c:v>4</c:v>
                </c:pt>
                <c:pt idx="48">
                  <c:v>6</c:v>
                </c:pt>
                <c:pt idx="49">
                  <c:v>14</c:v>
                </c:pt>
                <c:pt idx="50">
                  <c:v>8</c:v>
                </c:pt>
                <c:pt idx="51">
                  <c:v>8</c:v>
                </c:pt>
                <c:pt idx="52">
                  <c:v>5</c:v>
                </c:pt>
                <c:pt idx="53">
                  <c:v>1</c:v>
                </c:pt>
                <c:pt idx="54">
                  <c:v>8</c:v>
                </c:pt>
                <c:pt idx="55">
                  <c:v>5</c:v>
                </c:pt>
                <c:pt idx="56">
                  <c:v>6</c:v>
                </c:pt>
                <c:pt idx="57">
                  <c:v>1</c:v>
                </c:pt>
                <c:pt idx="58">
                  <c:v>3</c:v>
                </c:pt>
                <c:pt idx="59" formatCode="General">
                  <c:v>4</c:v>
                </c:pt>
                <c:pt idx="60" formatCode="General">
                  <c:v>7</c:v>
                </c:pt>
                <c:pt idx="61" formatCode="General">
                  <c:v>4</c:v>
                </c:pt>
              </c:numCache>
            </c:numRef>
          </c:val>
          <c:smooth val="0"/>
          <c:extLst>
            <c:ext xmlns:c16="http://schemas.microsoft.com/office/drawing/2014/chart" uri="{C3380CC4-5D6E-409C-BE32-E72D297353CC}">
              <c16:uniqueId val="{00000001-A2B4-4EC6-93B8-F61160E9F43B}"/>
            </c:ext>
          </c:extLst>
        </c:ser>
        <c:ser>
          <c:idx val="2"/>
          <c:order val="2"/>
          <c:tx>
            <c:strRef>
              <c:f>Housing!$A$115</c:f>
              <c:strCache>
                <c:ptCount val="1"/>
                <c:pt idx="0">
                  <c:v>3 Bedroom</c:v>
                </c:pt>
              </c:strCache>
            </c:strRef>
          </c:tx>
          <c:spPr>
            <a:ln w="19050" cap="rnd">
              <a:solidFill>
                <a:srgbClr val="6A4479"/>
              </a:solidFill>
              <a:round/>
            </a:ln>
            <a:effectLst/>
          </c:spPr>
          <c:marker>
            <c:symbol val="circle"/>
            <c:size val="4"/>
            <c:spPr>
              <a:solidFill>
                <a:srgbClr val="6A4479"/>
              </a:solidFill>
              <a:ln w="9525">
                <a:solidFill>
                  <a:srgbClr val="6A4479"/>
                </a:solidFill>
              </a:ln>
              <a:effectLst/>
            </c:spPr>
          </c:marker>
          <c:cat>
            <c:strRef>
              <c:f>Housing!$V$112:$CE$112</c:f>
              <c:strCache>
                <c:ptCount val="62"/>
                <c:pt idx="0">
                  <c:v>Mar 2005</c:v>
                </c:pt>
                <c:pt idx="1">
                  <c:v>Jun 2005</c:v>
                </c:pt>
                <c:pt idx="2">
                  <c:v>Sep 2005</c:v>
                </c:pt>
                <c:pt idx="3">
                  <c:v>Dec 2005</c:v>
                </c:pt>
                <c:pt idx="4">
                  <c:v>Mar 2006</c:v>
                </c:pt>
                <c:pt idx="5">
                  <c:v>Jun 2006</c:v>
                </c:pt>
                <c:pt idx="6">
                  <c:v>Sep 2006</c:v>
                </c:pt>
                <c:pt idx="7">
                  <c:v>Dec 2006</c:v>
                </c:pt>
                <c:pt idx="8">
                  <c:v>Mar 2007</c:v>
                </c:pt>
                <c:pt idx="9">
                  <c:v>Jun 2007</c:v>
                </c:pt>
                <c:pt idx="10">
                  <c:v>Sep 2007</c:v>
                </c:pt>
                <c:pt idx="11">
                  <c:v>Dec 2007</c:v>
                </c:pt>
                <c:pt idx="12">
                  <c:v>Mar 2008</c:v>
                </c:pt>
                <c:pt idx="13">
                  <c:v>Jun 2008</c:v>
                </c:pt>
                <c:pt idx="14">
                  <c:v>Sep 2008</c:v>
                </c:pt>
                <c:pt idx="15">
                  <c:v>Dec 2008</c:v>
                </c:pt>
                <c:pt idx="16">
                  <c:v>Mar 2009</c:v>
                </c:pt>
                <c:pt idx="17">
                  <c:v>Jun 2009</c:v>
                </c:pt>
                <c:pt idx="18">
                  <c:v>Sep 2009</c:v>
                </c:pt>
                <c:pt idx="19">
                  <c:v>Dec 2009</c:v>
                </c:pt>
                <c:pt idx="20">
                  <c:v>Mar 2010</c:v>
                </c:pt>
                <c:pt idx="21">
                  <c:v>Jun 2010</c:v>
                </c:pt>
                <c:pt idx="22">
                  <c:v>Sep 2010</c:v>
                </c:pt>
                <c:pt idx="23">
                  <c:v>Dec 2010</c:v>
                </c:pt>
                <c:pt idx="24">
                  <c:v>Mar 2011</c:v>
                </c:pt>
                <c:pt idx="25">
                  <c:v>Jun 2011</c:v>
                </c:pt>
                <c:pt idx="26">
                  <c:v>Sep 2011</c:v>
                </c:pt>
                <c:pt idx="27">
                  <c:v>Dec 2011</c:v>
                </c:pt>
                <c:pt idx="28">
                  <c:v>Mar 2012</c:v>
                </c:pt>
                <c:pt idx="29">
                  <c:v>Jun 2012</c:v>
                </c:pt>
                <c:pt idx="30">
                  <c:v>Sep 2012</c:v>
                </c:pt>
                <c:pt idx="31">
                  <c:v>Dec 2012</c:v>
                </c:pt>
                <c:pt idx="32">
                  <c:v>Mar 2013</c:v>
                </c:pt>
                <c:pt idx="33">
                  <c:v>Jun 2013</c:v>
                </c:pt>
                <c:pt idx="34">
                  <c:v>Sep 2013</c:v>
                </c:pt>
                <c:pt idx="35">
                  <c:v>Dec2013</c:v>
                </c:pt>
                <c:pt idx="36">
                  <c:v>Mar 2014</c:v>
                </c:pt>
                <c:pt idx="37">
                  <c:v>Jun 2014</c:v>
                </c:pt>
                <c:pt idx="38">
                  <c:v>Sep 2014</c:v>
                </c:pt>
                <c:pt idx="39">
                  <c:v>Dec 2014</c:v>
                </c:pt>
                <c:pt idx="40">
                  <c:v>Mar 2015</c:v>
                </c:pt>
                <c:pt idx="41">
                  <c:v>Jun 2015</c:v>
                </c:pt>
                <c:pt idx="42">
                  <c:v>Sep 2015</c:v>
                </c:pt>
                <c:pt idx="43">
                  <c:v>Dec 2014</c:v>
                </c:pt>
                <c:pt idx="44">
                  <c:v>Mar 2016</c:v>
                </c:pt>
                <c:pt idx="45">
                  <c:v>Jun 2016</c:v>
                </c:pt>
                <c:pt idx="46">
                  <c:v>Sep 2016</c:v>
                </c:pt>
                <c:pt idx="47">
                  <c:v>Dec 2016</c:v>
                </c:pt>
                <c:pt idx="48">
                  <c:v>Mar 2017</c:v>
                </c:pt>
                <c:pt idx="49">
                  <c:v>June 2017</c:v>
                </c:pt>
                <c:pt idx="50">
                  <c:v>Sep 2017</c:v>
                </c:pt>
                <c:pt idx="51">
                  <c:v>Dec 2017</c:v>
                </c:pt>
                <c:pt idx="52">
                  <c:v>Mar 2018</c:v>
                </c:pt>
                <c:pt idx="53">
                  <c:v>Jun 2018</c:v>
                </c:pt>
                <c:pt idx="54">
                  <c:v>Sep 2018</c:v>
                </c:pt>
                <c:pt idx="55">
                  <c:v>Dec 2018</c:v>
                </c:pt>
                <c:pt idx="56">
                  <c:v>Mar 2019</c:v>
                </c:pt>
                <c:pt idx="57">
                  <c:v>Jun 2019</c:v>
                </c:pt>
                <c:pt idx="58">
                  <c:v>Sep 2019</c:v>
                </c:pt>
                <c:pt idx="59">
                  <c:v>Dec 2019</c:v>
                </c:pt>
                <c:pt idx="60">
                  <c:v>Mar 2020</c:v>
                </c:pt>
                <c:pt idx="61">
                  <c:v>Jun 2020</c:v>
                </c:pt>
              </c:strCache>
            </c:strRef>
          </c:cat>
          <c:val>
            <c:numRef>
              <c:f>Housing!$V$115:$CE$115</c:f>
              <c:numCache>
                <c:formatCode>#,##0</c:formatCode>
                <c:ptCount val="62"/>
                <c:pt idx="0">
                  <c:v>85</c:v>
                </c:pt>
                <c:pt idx="1">
                  <c:v>67</c:v>
                </c:pt>
                <c:pt idx="2">
                  <c:v>113</c:v>
                </c:pt>
                <c:pt idx="3">
                  <c:v>94</c:v>
                </c:pt>
                <c:pt idx="4">
                  <c:v>94</c:v>
                </c:pt>
                <c:pt idx="5">
                  <c:v>63</c:v>
                </c:pt>
                <c:pt idx="6">
                  <c:v>79</c:v>
                </c:pt>
                <c:pt idx="7">
                  <c:v>64</c:v>
                </c:pt>
                <c:pt idx="8">
                  <c:v>68</c:v>
                </c:pt>
                <c:pt idx="9">
                  <c:v>58</c:v>
                </c:pt>
                <c:pt idx="10">
                  <c:v>51</c:v>
                </c:pt>
                <c:pt idx="11">
                  <c:v>39</c:v>
                </c:pt>
                <c:pt idx="12">
                  <c:v>32</c:v>
                </c:pt>
                <c:pt idx="13">
                  <c:v>15</c:v>
                </c:pt>
                <c:pt idx="14">
                  <c:v>14</c:v>
                </c:pt>
                <c:pt idx="15">
                  <c:v>32</c:v>
                </c:pt>
                <c:pt idx="16">
                  <c:v>11</c:v>
                </c:pt>
                <c:pt idx="17">
                  <c:v>8</c:v>
                </c:pt>
                <c:pt idx="18">
                  <c:v>4</c:v>
                </c:pt>
                <c:pt idx="19">
                  <c:v>14</c:v>
                </c:pt>
                <c:pt idx="20">
                  <c:v>7</c:v>
                </c:pt>
                <c:pt idx="21">
                  <c:v>10</c:v>
                </c:pt>
                <c:pt idx="22">
                  <c:v>3</c:v>
                </c:pt>
                <c:pt idx="23">
                  <c:v>6</c:v>
                </c:pt>
                <c:pt idx="24">
                  <c:v>6</c:v>
                </c:pt>
                <c:pt idx="25">
                  <c:v>5</c:v>
                </c:pt>
                <c:pt idx="26">
                  <c:v>9</c:v>
                </c:pt>
                <c:pt idx="27">
                  <c:v>10</c:v>
                </c:pt>
                <c:pt idx="28">
                  <c:v>7</c:v>
                </c:pt>
                <c:pt idx="29">
                  <c:v>11</c:v>
                </c:pt>
                <c:pt idx="30">
                  <c:v>10</c:v>
                </c:pt>
                <c:pt idx="31">
                  <c:v>12</c:v>
                </c:pt>
                <c:pt idx="32">
                  <c:v>9</c:v>
                </c:pt>
                <c:pt idx="33">
                  <c:v>8</c:v>
                </c:pt>
                <c:pt idx="34" formatCode="General">
                  <c:v>11</c:v>
                </c:pt>
                <c:pt idx="35">
                  <c:v>15</c:v>
                </c:pt>
                <c:pt idx="36">
                  <c:v>10</c:v>
                </c:pt>
                <c:pt idx="37">
                  <c:v>16</c:v>
                </c:pt>
                <c:pt idx="38">
                  <c:v>14</c:v>
                </c:pt>
                <c:pt idx="39">
                  <c:v>17</c:v>
                </c:pt>
                <c:pt idx="40">
                  <c:v>12</c:v>
                </c:pt>
                <c:pt idx="41">
                  <c:v>19</c:v>
                </c:pt>
                <c:pt idx="42">
                  <c:v>14</c:v>
                </c:pt>
                <c:pt idx="43">
                  <c:v>17</c:v>
                </c:pt>
                <c:pt idx="44">
                  <c:v>18</c:v>
                </c:pt>
                <c:pt idx="45">
                  <c:v>7</c:v>
                </c:pt>
                <c:pt idx="46">
                  <c:v>9</c:v>
                </c:pt>
                <c:pt idx="47">
                  <c:v>12</c:v>
                </c:pt>
                <c:pt idx="48">
                  <c:v>14</c:v>
                </c:pt>
                <c:pt idx="49">
                  <c:v>1</c:v>
                </c:pt>
                <c:pt idx="50">
                  <c:v>8</c:v>
                </c:pt>
                <c:pt idx="51">
                  <c:v>5</c:v>
                </c:pt>
                <c:pt idx="52">
                  <c:v>5</c:v>
                </c:pt>
                <c:pt idx="53">
                  <c:v>5</c:v>
                </c:pt>
                <c:pt idx="54">
                  <c:v>7</c:v>
                </c:pt>
                <c:pt idx="55">
                  <c:v>6</c:v>
                </c:pt>
                <c:pt idx="56">
                  <c:v>7</c:v>
                </c:pt>
                <c:pt idx="57">
                  <c:v>6</c:v>
                </c:pt>
                <c:pt idx="58">
                  <c:v>6</c:v>
                </c:pt>
                <c:pt idx="59" formatCode="General">
                  <c:v>3</c:v>
                </c:pt>
                <c:pt idx="60" formatCode="General">
                  <c:v>5</c:v>
                </c:pt>
                <c:pt idx="61" formatCode="General">
                  <c:v>7</c:v>
                </c:pt>
              </c:numCache>
            </c:numRef>
          </c:val>
          <c:smooth val="0"/>
          <c:extLst>
            <c:ext xmlns:c16="http://schemas.microsoft.com/office/drawing/2014/chart" uri="{C3380CC4-5D6E-409C-BE32-E72D297353CC}">
              <c16:uniqueId val="{00000002-A2B4-4EC6-93B8-F61160E9F43B}"/>
            </c:ext>
          </c:extLst>
        </c:ser>
        <c:ser>
          <c:idx val="3"/>
          <c:order val="3"/>
          <c:tx>
            <c:strRef>
              <c:f>Housing!$A$116</c:f>
              <c:strCache>
                <c:ptCount val="1"/>
                <c:pt idx="0">
                  <c:v>4 Bedroom</c:v>
                </c:pt>
              </c:strCache>
            </c:strRef>
          </c:tx>
          <c:spPr>
            <a:ln w="19050" cap="rnd">
              <a:solidFill>
                <a:schemeClr val="accent6"/>
              </a:solidFill>
              <a:round/>
            </a:ln>
            <a:effectLst/>
          </c:spPr>
          <c:marker>
            <c:symbol val="circle"/>
            <c:size val="4"/>
            <c:spPr>
              <a:solidFill>
                <a:schemeClr val="accent6"/>
              </a:solidFill>
              <a:ln w="9525">
                <a:solidFill>
                  <a:schemeClr val="accent6"/>
                </a:solidFill>
              </a:ln>
              <a:effectLst/>
            </c:spPr>
          </c:marker>
          <c:cat>
            <c:strRef>
              <c:f>Housing!$V$112:$CE$112</c:f>
              <c:strCache>
                <c:ptCount val="62"/>
                <c:pt idx="0">
                  <c:v>Mar 2005</c:v>
                </c:pt>
                <c:pt idx="1">
                  <c:v>Jun 2005</c:v>
                </c:pt>
                <c:pt idx="2">
                  <c:v>Sep 2005</c:v>
                </c:pt>
                <c:pt idx="3">
                  <c:v>Dec 2005</c:v>
                </c:pt>
                <c:pt idx="4">
                  <c:v>Mar 2006</c:v>
                </c:pt>
                <c:pt idx="5">
                  <c:v>Jun 2006</c:v>
                </c:pt>
                <c:pt idx="6">
                  <c:v>Sep 2006</c:v>
                </c:pt>
                <c:pt idx="7">
                  <c:v>Dec 2006</c:v>
                </c:pt>
                <c:pt idx="8">
                  <c:v>Mar 2007</c:v>
                </c:pt>
                <c:pt idx="9">
                  <c:v>Jun 2007</c:v>
                </c:pt>
                <c:pt idx="10">
                  <c:v>Sep 2007</c:v>
                </c:pt>
                <c:pt idx="11">
                  <c:v>Dec 2007</c:v>
                </c:pt>
                <c:pt idx="12">
                  <c:v>Mar 2008</c:v>
                </c:pt>
                <c:pt idx="13">
                  <c:v>Jun 2008</c:v>
                </c:pt>
                <c:pt idx="14">
                  <c:v>Sep 2008</c:v>
                </c:pt>
                <c:pt idx="15">
                  <c:v>Dec 2008</c:v>
                </c:pt>
                <c:pt idx="16">
                  <c:v>Mar 2009</c:v>
                </c:pt>
                <c:pt idx="17">
                  <c:v>Jun 2009</c:v>
                </c:pt>
                <c:pt idx="18">
                  <c:v>Sep 2009</c:v>
                </c:pt>
                <c:pt idx="19">
                  <c:v>Dec 2009</c:v>
                </c:pt>
                <c:pt idx="20">
                  <c:v>Mar 2010</c:v>
                </c:pt>
                <c:pt idx="21">
                  <c:v>Jun 2010</c:v>
                </c:pt>
                <c:pt idx="22">
                  <c:v>Sep 2010</c:v>
                </c:pt>
                <c:pt idx="23">
                  <c:v>Dec 2010</c:v>
                </c:pt>
                <c:pt idx="24">
                  <c:v>Mar 2011</c:v>
                </c:pt>
                <c:pt idx="25">
                  <c:v>Jun 2011</c:v>
                </c:pt>
                <c:pt idx="26">
                  <c:v>Sep 2011</c:v>
                </c:pt>
                <c:pt idx="27">
                  <c:v>Dec 2011</c:v>
                </c:pt>
                <c:pt idx="28">
                  <c:v>Mar 2012</c:v>
                </c:pt>
                <c:pt idx="29">
                  <c:v>Jun 2012</c:v>
                </c:pt>
                <c:pt idx="30">
                  <c:v>Sep 2012</c:v>
                </c:pt>
                <c:pt idx="31">
                  <c:v>Dec 2012</c:v>
                </c:pt>
                <c:pt idx="32">
                  <c:v>Mar 2013</c:v>
                </c:pt>
                <c:pt idx="33">
                  <c:v>Jun 2013</c:v>
                </c:pt>
                <c:pt idx="34">
                  <c:v>Sep 2013</c:v>
                </c:pt>
                <c:pt idx="35">
                  <c:v>Dec2013</c:v>
                </c:pt>
                <c:pt idx="36">
                  <c:v>Mar 2014</c:v>
                </c:pt>
                <c:pt idx="37">
                  <c:v>Jun 2014</c:v>
                </c:pt>
                <c:pt idx="38">
                  <c:v>Sep 2014</c:v>
                </c:pt>
                <c:pt idx="39">
                  <c:v>Dec 2014</c:v>
                </c:pt>
                <c:pt idx="40">
                  <c:v>Mar 2015</c:v>
                </c:pt>
                <c:pt idx="41">
                  <c:v>Jun 2015</c:v>
                </c:pt>
                <c:pt idx="42">
                  <c:v>Sep 2015</c:v>
                </c:pt>
                <c:pt idx="43">
                  <c:v>Dec 2014</c:v>
                </c:pt>
                <c:pt idx="44">
                  <c:v>Mar 2016</c:v>
                </c:pt>
                <c:pt idx="45">
                  <c:v>Jun 2016</c:v>
                </c:pt>
                <c:pt idx="46">
                  <c:v>Sep 2016</c:v>
                </c:pt>
                <c:pt idx="47">
                  <c:v>Dec 2016</c:v>
                </c:pt>
                <c:pt idx="48">
                  <c:v>Mar 2017</c:v>
                </c:pt>
                <c:pt idx="49">
                  <c:v>June 2017</c:v>
                </c:pt>
                <c:pt idx="50">
                  <c:v>Sep 2017</c:v>
                </c:pt>
                <c:pt idx="51">
                  <c:v>Dec 2017</c:v>
                </c:pt>
                <c:pt idx="52">
                  <c:v>Mar 2018</c:v>
                </c:pt>
                <c:pt idx="53">
                  <c:v>Jun 2018</c:v>
                </c:pt>
                <c:pt idx="54">
                  <c:v>Sep 2018</c:v>
                </c:pt>
                <c:pt idx="55">
                  <c:v>Dec 2018</c:v>
                </c:pt>
                <c:pt idx="56">
                  <c:v>Mar 2019</c:v>
                </c:pt>
                <c:pt idx="57">
                  <c:v>Jun 2019</c:v>
                </c:pt>
                <c:pt idx="58">
                  <c:v>Sep 2019</c:v>
                </c:pt>
                <c:pt idx="59">
                  <c:v>Dec 2019</c:v>
                </c:pt>
                <c:pt idx="60">
                  <c:v>Mar 2020</c:v>
                </c:pt>
                <c:pt idx="61">
                  <c:v>Jun 2020</c:v>
                </c:pt>
              </c:strCache>
            </c:strRef>
          </c:cat>
          <c:val>
            <c:numRef>
              <c:f>Housing!$V$116:$CE$116</c:f>
              <c:numCache>
                <c:formatCode>#,##0</c:formatCode>
                <c:ptCount val="62"/>
                <c:pt idx="0">
                  <c:v>19</c:v>
                </c:pt>
                <c:pt idx="1">
                  <c:v>18</c:v>
                </c:pt>
                <c:pt idx="2">
                  <c:v>26</c:v>
                </c:pt>
                <c:pt idx="3">
                  <c:v>25</c:v>
                </c:pt>
                <c:pt idx="4">
                  <c:v>37</c:v>
                </c:pt>
                <c:pt idx="5">
                  <c:v>17</c:v>
                </c:pt>
                <c:pt idx="6">
                  <c:v>34</c:v>
                </c:pt>
                <c:pt idx="7">
                  <c:v>26</c:v>
                </c:pt>
                <c:pt idx="8">
                  <c:v>20</c:v>
                </c:pt>
                <c:pt idx="9">
                  <c:v>11</c:v>
                </c:pt>
                <c:pt idx="10">
                  <c:v>19</c:v>
                </c:pt>
                <c:pt idx="11">
                  <c:v>8</c:v>
                </c:pt>
                <c:pt idx="12">
                  <c:v>7</c:v>
                </c:pt>
                <c:pt idx="13">
                  <c:v>5</c:v>
                </c:pt>
                <c:pt idx="14">
                  <c:v>10</c:v>
                </c:pt>
                <c:pt idx="15">
                  <c:v>12</c:v>
                </c:pt>
                <c:pt idx="16">
                  <c:v>9</c:v>
                </c:pt>
                <c:pt idx="17">
                  <c:v>5</c:v>
                </c:pt>
                <c:pt idx="18">
                  <c:v>5</c:v>
                </c:pt>
                <c:pt idx="19">
                  <c:v>7</c:v>
                </c:pt>
                <c:pt idx="20">
                  <c:v>4</c:v>
                </c:pt>
                <c:pt idx="21">
                  <c:v>3</c:v>
                </c:pt>
                <c:pt idx="22">
                  <c:v>12</c:v>
                </c:pt>
                <c:pt idx="23">
                  <c:v>9</c:v>
                </c:pt>
                <c:pt idx="24">
                  <c:v>6</c:v>
                </c:pt>
                <c:pt idx="25">
                  <c:v>7</c:v>
                </c:pt>
                <c:pt idx="26">
                  <c:v>3</c:v>
                </c:pt>
                <c:pt idx="27">
                  <c:v>1</c:v>
                </c:pt>
                <c:pt idx="28">
                  <c:v>1</c:v>
                </c:pt>
                <c:pt idx="29">
                  <c:v>11</c:v>
                </c:pt>
                <c:pt idx="30">
                  <c:v>7</c:v>
                </c:pt>
                <c:pt idx="31">
                  <c:v>8</c:v>
                </c:pt>
                <c:pt idx="32">
                  <c:v>6</c:v>
                </c:pt>
                <c:pt idx="33">
                  <c:v>8</c:v>
                </c:pt>
                <c:pt idx="34" formatCode="General">
                  <c:v>5</c:v>
                </c:pt>
                <c:pt idx="35">
                  <c:v>4</c:v>
                </c:pt>
                <c:pt idx="36">
                  <c:v>8</c:v>
                </c:pt>
                <c:pt idx="37">
                  <c:v>14</c:v>
                </c:pt>
                <c:pt idx="38">
                  <c:v>10</c:v>
                </c:pt>
                <c:pt idx="39">
                  <c:v>4</c:v>
                </c:pt>
                <c:pt idx="40">
                  <c:v>8</c:v>
                </c:pt>
                <c:pt idx="41">
                  <c:v>11</c:v>
                </c:pt>
                <c:pt idx="42">
                  <c:v>12</c:v>
                </c:pt>
                <c:pt idx="43">
                  <c:v>5</c:v>
                </c:pt>
                <c:pt idx="44">
                  <c:v>7</c:v>
                </c:pt>
                <c:pt idx="45">
                  <c:v>1</c:v>
                </c:pt>
                <c:pt idx="46">
                  <c:v>4</c:v>
                </c:pt>
                <c:pt idx="47">
                  <c:v>3</c:v>
                </c:pt>
                <c:pt idx="48">
                  <c:v>6</c:v>
                </c:pt>
                <c:pt idx="49">
                  <c:v>6</c:v>
                </c:pt>
                <c:pt idx="50">
                  <c:v>3</c:v>
                </c:pt>
                <c:pt idx="51">
                  <c:v>7</c:v>
                </c:pt>
                <c:pt idx="52">
                  <c:v>5</c:v>
                </c:pt>
                <c:pt idx="53">
                  <c:v>6</c:v>
                </c:pt>
                <c:pt idx="54">
                  <c:v>10</c:v>
                </c:pt>
                <c:pt idx="55">
                  <c:v>12</c:v>
                </c:pt>
                <c:pt idx="56">
                  <c:v>5</c:v>
                </c:pt>
                <c:pt idx="57">
                  <c:v>9</c:v>
                </c:pt>
                <c:pt idx="58">
                  <c:v>16</c:v>
                </c:pt>
                <c:pt idx="59" formatCode="General">
                  <c:v>8</c:v>
                </c:pt>
                <c:pt idx="60" formatCode="General">
                  <c:v>5</c:v>
                </c:pt>
                <c:pt idx="61" formatCode="General">
                  <c:v>10</c:v>
                </c:pt>
              </c:numCache>
            </c:numRef>
          </c:val>
          <c:smooth val="0"/>
          <c:extLst>
            <c:ext xmlns:c16="http://schemas.microsoft.com/office/drawing/2014/chart" uri="{C3380CC4-5D6E-409C-BE32-E72D297353CC}">
              <c16:uniqueId val="{00000003-A2B4-4EC6-93B8-F61160E9F43B}"/>
            </c:ext>
          </c:extLst>
        </c:ser>
        <c:dLbls>
          <c:showLegendKey val="0"/>
          <c:showVal val="0"/>
          <c:showCatName val="0"/>
          <c:showSerName val="0"/>
          <c:showPercent val="0"/>
          <c:showBubbleSize val="0"/>
        </c:dLbls>
        <c:marker val="1"/>
        <c:smooth val="0"/>
        <c:axId val="762414664"/>
        <c:axId val="762415976"/>
      </c:lineChart>
      <c:catAx>
        <c:axId val="76241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62415976"/>
        <c:crosses val="autoZero"/>
        <c:auto val="1"/>
        <c:lblAlgn val="ctr"/>
        <c:lblOffset val="100"/>
        <c:tickLblSkip val="4"/>
        <c:tickMarkSkip val="4"/>
        <c:noMultiLvlLbl val="0"/>
      </c:catAx>
      <c:valAx>
        <c:axId val="762415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AU"/>
                  <a:t>Number of affordable lettings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6241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Housing!$D$135</c:f>
              <c:strCache>
                <c:ptCount val="1"/>
                <c:pt idx="0">
                  <c:v>Percent Social Housing</c:v>
                </c:pt>
              </c:strCache>
            </c:strRef>
          </c:tx>
          <c:spPr>
            <a:solidFill>
              <a:srgbClr val="31788F"/>
            </a:solidFill>
            <a:ln>
              <a:noFill/>
            </a:ln>
            <a:effectLst/>
          </c:spPr>
          <c:invertIfNegative val="0"/>
          <c:dPt>
            <c:idx val="11"/>
            <c:invertIfNegative val="0"/>
            <c:bubble3D val="0"/>
            <c:spPr>
              <a:solidFill>
                <a:srgbClr val="E55048"/>
              </a:solidFill>
              <a:ln>
                <a:solidFill>
                  <a:srgbClr val="E55048"/>
                </a:solidFill>
              </a:ln>
              <a:effectLst/>
            </c:spPr>
            <c:extLst>
              <c:ext xmlns:c16="http://schemas.microsoft.com/office/drawing/2014/chart" uri="{C3380CC4-5D6E-409C-BE32-E72D297353CC}">
                <c16:uniqueId val="{00000001-D55A-4BCE-AD97-785DA0BBCF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Housing!$A$136:$A$149</c:f>
              <c:strCache>
                <c:ptCount val="14"/>
                <c:pt idx="0">
                  <c:v>Strathmore Heights</c:v>
                </c:pt>
                <c:pt idx="1">
                  <c:v>Strathmore</c:v>
                </c:pt>
                <c:pt idx="2">
                  <c:v>Airport West </c:v>
                </c:pt>
                <c:pt idx="3">
                  <c:v>Avondale Heights</c:v>
                </c:pt>
                <c:pt idx="4">
                  <c:v>Milleara</c:v>
                </c:pt>
                <c:pt idx="5">
                  <c:v>Keilor Road / Essendon North</c:v>
                </c:pt>
                <c:pt idx="6">
                  <c:v>Keilor East</c:v>
                </c:pt>
                <c:pt idx="7">
                  <c:v>Niddrie / Essendon West</c:v>
                </c:pt>
                <c:pt idx="8">
                  <c:v>Aberfeldie</c:v>
                </c:pt>
                <c:pt idx="9">
                  <c:v>Essendon</c:v>
                </c:pt>
                <c:pt idx="10">
                  <c:v>Moonee Ponds</c:v>
                </c:pt>
                <c:pt idx="11">
                  <c:v>Moonee Valley (City)</c:v>
                </c:pt>
                <c:pt idx="12">
                  <c:v>Ascot Vale</c:v>
                </c:pt>
                <c:pt idx="13">
                  <c:v>Flemington</c:v>
                </c:pt>
              </c:strCache>
            </c:strRef>
          </c:cat>
          <c:val>
            <c:numRef>
              <c:f>Housing!$D$136:$D$149</c:f>
              <c:numCache>
                <c:formatCode>0.0%</c:formatCode>
                <c:ptCount val="14"/>
                <c:pt idx="0">
                  <c:v>0</c:v>
                </c:pt>
                <c:pt idx="1">
                  <c:v>5.6625141562853911E-4</c:v>
                </c:pt>
                <c:pt idx="2">
                  <c:v>3.1934306569343066E-3</c:v>
                </c:pt>
                <c:pt idx="3">
                  <c:v>8.7680841736080661E-3</c:v>
                </c:pt>
                <c:pt idx="4">
                  <c:v>8.8355948248658878E-3</c:v>
                </c:pt>
                <c:pt idx="5">
                  <c:v>8.9411764705882354E-3</c:v>
                </c:pt>
                <c:pt idx="6">
                  <c:v>8.9573629523468298E-3</c:v>
                </c:pt>
                <c:pt idx="7">
                  <c:v>9.0592334494773528E-3</c:v>
                </c:pt>
                <c:pt idx="8">
                  <c:v>1.3357482454154404E-2</c:v>
                </c:pt>
                <c:pt idx="9">
                  <c:v>2.0577052113621114E-2</c:v>
                </c:pt>
                <c:pt idx="10">
                  <c:v>3.0197918792083247E-2</c:v>
                </c:pt>
                <c:pt idx="11">
                  <c:v>5.9361523544904635E-2</c:v>
                </c:pt>
                <c:pt idx="12">
                  <c:v>0.12353607857952399</c:v>
                </c:pt>
                <c:pt idx="13">
                  <c:v>0.15498455033338754</c:v>
                </c:pt>
              </c:numCache>
            </c:numRef>
          </c:val>
          <c:extLst>
            <c:ext xmlns:c16="http://schemas.microsoft.com/office/drawing/2014/chart" uri="{C3380CC4-5D6E-409C-BE32-E72D297353CC}">
              <c16:uniqueId val="{00000002-D55A-4BCE-AD97-785DA0BBCF28}"/>
            </c:ext>
          </c:extLst>
        </c:ser>
        <c:dLbls>
          <c:dLblPos val="outEnd"/>
          <c:showLegendKey val="0"/>
          <c:showVal val="1"/>
          <c:showCatName val="0"/>
          <c:showSerName val="0"/>
          <c:showPercent val="0"/>
          <c:showBubbleSize val="0"/>
        </c:dLbls>
        <c:gapWidth val="25"/>
        <c:axId val="780866688"/>
        <c:axId val="780863080"/>
      </c:barChart>
      <c:catAx>
        <c:axId val="780866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80863080"/>
        <c:crosses val="autoZero"/>
        <c:auto val="1"/>
        <c:lblAlgn val="ctr"/>
        <c:lblOffset val="100"/>
        <c:noMultiLvlLbl val="0"/>
      </c:catAx>
      <c:valAx>
        <c:axId val="780863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AU"/>
                  <a:t>Percentage of households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780866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'Population Growth'!$A$3</c:f>
              <c:strCache>
                <c:ptCount val="1"/>
                <c:pt idx="0">
                  <c:v>Total Population</c:v>
                </c:pt>
              </c:strCache>
            </c:strRef>
          </c:tx>
          <c:spPr>
            <a:ln w="19050" cap="rnd">
              <a:solidFill>
                <a:srgbClr val="31788F"/>
              </a:solidFill>
              <a:round/>
            </a:ln>
            <a:effectLst/>
          </c:spPr>
          <c:marker>
            <c:symbol val="circle"/>
            <c:size val="5"/>
            <c:spPr>
              <a:solidFill>
                <a:srgbClr val="31788F"/>
              </a:solidFill>
              <a:ln w="9525">
                <a:solidFill>
                  <a:srgbClr val="31788F"/>
                </a:solidFill>
              </a:ln>
              <a:effectLst/>
            </c:spPr>
          </c:marker>
          <c:cat>
            <c:numRef>
              <c:f>'Population Growth'!$B$1:$AA$1</c:f>
              <c:numCache>
                <c:formatCode>General</c:formatCode>
                <c:ptCount val="2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numCache>
            </c:numRef>
          </c:cat>
          <c:val>
            <c:numRef>
              <c:f>'Population Growth'!$B$3:$AA$3</c:f>
              <c:numCache>
                <c:formatCode>#,##0</c:formatCode>
                <c:ptCount val="26"/>
                <c:pt idx="0">
                  <c:v>122871</c:v>
                </c:pt>
                <c:pt idx="1">
                  <c:v>125411</c:v>
                </c:pt>
                <c:pt idx="2">
                  <c:v>127906</c:v>
                </c:pt>
                <c:pt idx="3">
                  <c:v>130294</c:v>
                </c:pt>
                <c:pt idx="4">
                  <c:v>131861</c:v>
                </c:pt>
                <c:pt idx="5">
                  <c:v>133253</c:v>
                </c:pt>
                <c:pt idx="6">
                  <c:v>134405</c:v>
                </c:pt>
                <c:pt idx="7">
                  <c:v>136375</c:v>
                </c:pt>
                <c:pt idx="8">
                  <c:v>137878</c:v>
                </c:pt>
                <c:pt idx="9">
                  <c:v>139402</c:v>
                </c:pt>
                <c:pt idx="10">
                  <c:v>142144</c:v>
                </c:pt>
                <c:pt idx="11">
                  <c:v>144827</c:v>
                </c:pt>
                <c:pt idx="12">
                  <c:v>147509</c:v>
                </c:pt>
                <c:pt idx="13">
                  <c:v>149896</c:v>
                </c:pt>
                <c:pt idx="14">
                  <c:v>151550</c:v>
                </c:pt>
                <c:pt idx="15">
                  <c:v>152995</c:v>
                </c:pt>
                <c:pt idx="16">
                  <c:v>154283</c:v>
                </c:pt>
                <c:pt idx="17">
                  <c:v>155624</c:v>
                </c:pt>
                <c:pt idx="18">
                  <c:v>156923</c:v>
                </c:pt>
                <c:pt idx="19">
                  <c:v>158275</c:v>
                </c:pt>
                <c:pt idx="20">
                  <c:v>159652</c:v>
                </c:pt>
                <c:pt idx="21">
                  <c:v>161145</c:v>
                </c:pt>
                <c:pt idx="22">
                  <c:v>162478</c:v>
                </c:pt>
                <c:pt idx="23">
                  <c:v>163715</c:v>
                </c:pt>
                <c:pt idx="24">
                  <c:v>164951</c:v>
                </c:pt>
                <c:pt idx="25">
                  <c:v>166143</c:v>
                </c:pt>
              </c:numCache>
            </c:numRef>
          </c:val>
          <c:smooth val="0"/>
          <c:extLst>
            <c:ext xmlns:c16="http://schemas.microsoft.com/office/drawing/2014/chart" uri="{C3380CC4-5D6E-409C-BE32-E72D297353CC}">
              <c16:uniqueId val="{00000001-40B0-46D4-8154-2A10F42A063C}"/>
            </c:ext>
          </c:extLst>
        </c:ser>
        <c:dLbls>
          <c:showLegendKey val="0"/>
          <c:showVal val="0"/>
          <c:showCatName val="0"/>
          <c:showSerName val="0"/>
          <c:showPercent val="0"/>
          <c:showBubbleSize val="0"/>
        </c:dLbls>
        <c:marker val="1"/>
        <c:smooth val="0"/>
        <c:axId val="526713600"/>
        <c:axId val="526713928"/>
      </c:lineChart>
      <c:catAx>
        <c:axId val="526713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713928"/>
        <c:crosses val="autoZero"/>
        <c:auto val="1"/>
        <c:lblAlgn val="ctr"/>
        <c:lblOffset val="100"/>
        <c:tickLblSkip val="5"/>
        <c:noMultiLvlLbl val="0"/>
      </c:catAx>
      <c:valAx>
        <c:axId val="526713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Forecast</a:t>
                </a:r>
                <a:r>
                  <a:rPr lang="en-AU" baseline="0"/>
                  <a:t> n</a:t>
                </a:r>
                <a:r>
                  <a:rPr lang="en-AU"/>
                  <a:t>umber</a:t>
                </a:r>
              </a:p>
            </c:rich>
          </c:tx>
          <c:layout>
            <c:manualLayout>
              <c:xMode val="edge"/>
              <c:yMode val="edge"/>
              <c:x val="9.3896699730627378E-3"/>
              <c:y val="0.356719361105061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713600"/>
        <c:crosses val="autoZero"/>
        <c:crossBetween val="between"/>
        <c:majorUnit val="50000"/>
        <c:minorUnit val="20000"/>
      </c:valAx>
      <c:spPr>
        <a:noFill/>
        <a:ln>
          <a:noFill/>
        </a:ln>
        <a:effectLst/>
      </c:spPr>
    </c:plotArea>
    <c:legend>
      <c:legendPos val="b"/>
      <c:layout>
        <c:manualLayout>
          <c:xMode val="edge"/>
          <c:yMode val="edge"/>
          <c:x val="0.10573271143651451"/>
          <c:y val="0.84573370649490476"/>
          <c:w val="0.34534200652959129"/>
          <c:h val="6.6964733481835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E55048"/>
              </a:solidFill>
              <a:ln>
                <a:noFill/>
              </a:ln>
              <a:effectLst/>
            </c:spPr>
            <c:extLst>
              <c:ext xmlns:c16="http://schemas.microsoft.com/office/drawing/2014/chart" uri="{C3380CC4-5D6E-409C-BE32-E72D297353CC}">
                <c16:uniqueId val="{00000001-56EF-474C-8A99-ED387B9754DA}"/>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56EF-474C-8A99-ED387B9754DA}"/>
              </c:ext>
            </c:extLst>
          </c:dPt>
          <c:dPt>
            <c:idx val="2"/>
            <c:invertIfNegative val="0"/>
            <c:bubble3D val="0"/>
            <c:spPr>
              <a:solidFill>
                <a:srgbClr val="6A4479"/>
              </a:solidFill>
              <a:ln>
                <a:noFill/>
              </a:ln>
              <a:effectLst/>
            </c:spPr>
            <c:extLst>
              <c:ext xmlns:c16="http://schemas.microsoft.com/office/drawing/2014/chart" uri="{C3380CC4-5D6E-409C-BE32-E72D297353CC}">
                <c16:uniqueId val="{00000005-56EF-474C-8A99-ED387B9754DA}"/>
              </c:ext>
            </c:extLst>
          </c:dPt>
          <c:dPt>
            <c:idx val="3"/>
            <c:invertIfNegative val="0"/>
            <c:bubble3D val="0"/>
            <c:spPr>
              <a:solidFill>
                <a:srgbClr val="31788F"/>
              </a:solidFill>
              <a:ln>
                <a:noFill/>
              </a:ln>
              <a:effectLst/>
            </c:spPr>
            <c:extLst>
              <c:ext xmlns:c16="http://schemas.microsoft.com/office/drawing/2014/chart" uri="{C3380CC4-5D6E-409C-BE32-E72D297353CC}">
                <c16:uniqueId val="{00000007-56EF-474C-8A99-ED387B9754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Employment!$A$149:$A$152</c:f>
              <c:strCache>
                <c:ptCount val="4"/>
                <c:pt idx="0">
                  <c:v>City of Moonee Valley</c:v>
                </c:pt>
                <c:pt idx="1">
                  <c:v>Greater Melbourne</c:v>
                </c:pt>
                <c:pt idx="2">
                  <c:v>Melbourne's West</c:v>
                </c:pt>
                <c:pt idx="3">
                  <c:v>Victoria</c:v>
                </c:pt>
              </c:strCache>
            </c:strRef>
          </c:cat>
          <c:val>
            <c:numRef>
              <c:f>Employment!$B$149:$B$152</c:f>
              <c:numCache>
                <c:formatCode>0.0%</c:formatCode>
                <c:ptCount val="4"/>
                <c:pt idx="0">
                  <c:v>0.1782</c:v>
                </c:pt>
                <c:pt idx="1">
                  <c:v>0.17610000000000001</c:v>
                </c:pt>
                <c:pt idx="2">
                  <c:v>0.1414</c:v>
                </c:pt>
                <c:pt idx="3">
                  <c:v>0.19220000000000001</c:v>
                </c:pt>
              </c:numCache>
            </c:numRef>
          </c:val>
          <c:extLst>
            <c:ext xmlns:c16="http://schemas.microsoft.com/office/drawing/2014/chart" uri="{C3380CC4-5D6E-409C-BE32-E72D297353CC}">
              <c16:uniqueId val="{00000008-56EF-474C-8A99-ED387B9754DA}"/>
            </c:ext>
          </c:extLst>
        </c:ser>
        <c:dLbls>
          <c:dLblPos val="outEnd"/>
          <c:showLegendKey val="0"/>
          <c:showVal val="1"/>
          <c:showCatName val="0"/>
          <c:showSerName val="0"/>
          <c:showPercent val="0"/>
          <c:showBubbleSize val="0"/>
        </c:dLbls>
        <c:gapWidth val="25"/>
        <c:axId val="873277928"/>
        <c:axId val="873285800"/>
      </c:barChart>
      <c:catAx>
        <c:axId val="873277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873285800"/>
        <c:crosses val="autoZero"/>
        <c:auto val="1"/>
        <c:lblAlgn val="ctr"/>
        <c:lblOffset val="100"/>
        <c:noMultiLvlLbl val="0"/>
      </c:catAx>
      <c:valAx>
        <c:axId val="873285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AU"/>
                  <a:t>Per cent of 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873277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Safety!$A$107</c:f>
              <c:strCache>
                <c:ptCount val="1"/>
                <c:pt idx="0">
                  <c:v>At public transport stops and stations</c:v>
                </c:pt>
              </c:strCache>
            </c:strRef>
          </c:tx>
          <c:spPr>
            <a:ln w="22225" cap="rnd">
              <a:solidFill>
                <a:srgbClr val="E55048"/>
              </a:solidFill>
              <a:round/>
            </a:ln>
            <a:effectLst/>
          </c:spPr>
          <c:marker>
            <c:symbol val="circle"/>
            <c:size val="5"/>
            <c:spPr>
              <a:solidFill>
                <a:srgbClr val="E55048"/>
              </a:solidFill>
              <a:ln w="9525">
                <a:solidFill>
                  <a:srgbClr val="E55048"/>
                </a:solidFill>
              </a:ln>
              <a:effectLst/>
            </c:spPr>
          </c:marker>
          <c:cat>
            <c:numRef>
              <c:f>Safety!$B$106:$E$106</c:f>
              <c:numCache>
                <c:formatCode>General</c:formatCode>
                <c:ptCount val="4"/>
                <c:pt idx="0">
                  <c:v>2018</c:v>
                </c:pt>
                <c:pt idx="1">
                  <c:v>2019</c:v>
                </c:pt>
                <c:pt idx="2">
                  <c:v>2020</c:v>
                </c:pt>
                <c:pt idx="3">
                  <c:v>2021</c:v>
                </c:pt>
              </c:numCache>
            </c:numRef>
          </c:cat>
          <c:val>
            <c:numRef>
              <c:f>Safety!$B$107:$E$107</c:f>
              <c:numCache>
                <c:formatCode>General</c:formatCode>
                <c:ptCount val="4"/>
                <c:pt idx="0">
                  <c:v>77.400000000000006</c:v>
                </c:pt>
                <c:pt idx="1">
                  <c:v>80.900000000000006</c:v>
                </c:pt>
                <c:pt idx="2">
                  <c:v>77</c:v>
                </c:pt>
                <c:pt idx="3">
                  <c:v>79</c:v>
                </c:pt>
              </c:numCache>
            </c:numRef>
          </c:val>
          <c:smooth val="0"/>
          <c:extLst>
            <c:ext xmlns:c16="http://schemas.microsoft.com/office/drawing/2014/chart" uri="{C3380CC4-5D6E-409C-BE32-E72D297353CC}">
              <c16:uniqueId val="{00000000-0BDC-46C6-83A9-EBD1B6377820}"/>
            </c:ext>
          </c:extLst>
        </c:ser>
        <c:ser>
          <c:idx val="1"/>
          <c:order val="1"/>
          <c:tx>
            <c:strRef>
              <c:f>Safety!$A$108</c:f>
              <c:strCache>
                <c:ptCount val="1"/>
                <c:pt idx="0">
                  <c:v>When walking alone in local area at night</c:v>
                </c:pt>
              </c:strCache>
            </c:strRef>
          </c:tx>
          <c:spPr>
            <a:ln w="22225" cap="rnd">
              <a:solidFill>
                <a:srgbClr val="31788F"/>
              </a:solidFill>
              <a:round/>
            </a:ln>
            <a:effectLst/>
          </c:spPr>
          <c:marker>
            <c:symbol val="circle"/>
            <c:size val="5"/>
            <c:spPr>
              <a:solidFill>
                <a:srgbClr val="31788F"/>
              </a:solidFill>
              <a:ln w="9525">
                <a:solidFill>
                  <a:srgbClr val="31788F"/>
                </a:solidFill>
              </a:ln>
              <a:effectLst/>
            </c:spPr>
          </c:marker>
          <c:cat>
            <c:numRef>
              <c:f>Safety!$B$106:$E$106</c:f>
              <c:numCache>
                <c:formatCode>General</c:formatCode>
                <c:ptCount val="4"/>
                <c:pt idx="0">
                  <c:v>2018</c:v>
                </c:pt>
                <c:pt idx="1">
                  <c:v>2019</c:v>
                </c:pt>
                <c:pt idx="2">
                  <c:v>2020</c:v>
                </c:pt>
                <c:pt idx="3">
                  <c:v>2021</c:v>
                </c:pt>
              </c:numCache>
            </c:numRef>
          </c:cat>
          <c:val>
            <c:numRef>
              <c:f>Safety!$B$108:$E$108</c:f>
              <c:numCache>
                <c:formatCode>General</c:formatCode>
                <c:ptCount val="4"/>
                <c:pt idx="0">
                  <c:v>48.5</c:v>
                </c:pt>
                <c:pt idx="1">
                  <c:v>45.6</c:v>
                </c:pt>
                <c:pt idx="2">
                  <c:v>44.9</c:v>
                </c:pt>
                <c:pt idx="3">
                  <c:v>47.1</c:v>
                </c:pt>
              </c:numCache>
            </c:numRef>
          </c:val>
          <c:smooth val="0"/>
          <c:extLst>
            <c:ext xmlns:c16="http://schemas.microsoft.com/office/drawing/2014/chart" uri="{C3380CC4-5D6E-409C-BE32-E72D297353CC}">
              <c16:uniqueId val="{00000001-0BDC-46C6-83A9-EBD1B6377820}"/>
            </c:ext>
          </c:extLst>
        </c:ser>
        <c:ser>
          <c:idx val="2"/>
          <c:order val="2"/>
          <c:tx>
            <c:strRef>
              <c:f>Safety!$A$109</c:f>
              <c:strCache>
                <c:ptCount val="1"/>
                <c:pt idx="0">
                  <c:v>When walking alone in local area during the day</c:v>
                </c:pt>
              </c:strCache>
            </c:strRef>
          </c:tx>
          <c:spPr>
            <a:ln w="22225" cap="rnd">
              <a:solidFill>
                <a:srgbClr val="6A4479"/>
              </a:solidFill>
              <a:round/>
            </a:ln>
            <a:effectLst/>
          </c:spPr>
          <c:marker>
            <c:symbol val="circle"/>
            <c:size val="5"/>
            <c:spPr>
              <a:solidFill>
                <a:srgbClr val="6A4479"/>
              </a:solidFill>
              <a:ln w="9525">
                <a:solidFill>
                  <a:srgbClr val="6A4479"/>
                </a:solidFill>
              </a:ln>
              <a:effectLst/>
            </c:spPr>
          </c:marker>
          <c:cat>
            <c:numRef>
              <c:f>Safety!$B$106:$E$106</c:f>
              <c:numCache>
                <c:formatCode>General</c:formatCode>
                <c:ptCount val="4"/>
                <c:pt idx="0">
                  <c:v>2018</c:v>
                </c:pt>
                <c:pt idx="1">
                  <c:v>2019</c:v>
                </c:pt>
                <c:pt idx="2">
                  <c:v>2020</c:v>
                </c:pt>
                <c:pt idx="3">
                  <c:v>2021</c:v>
                </c:pt>
              </c:numCache>
            </c:numRef>
          </c:cat>
          <c:val>
            <c:numRef>
              <c:f>Safety!$B$109:$E$109</c:f>
              <c:numCache>
                <c:formatCode>General</c:formatCode>
                <c:ptCount val="4"/>
                <c:pt idx="0">
                  <c:v>92.1</c:v>
                </c:pt>
                <c:pt idx="1">
                  <c:v>93.1</c:v>
                </c:pt>
                <c:pt idx="2">
                  <c:v>91.5</c:v>
                </c:pt>
                <c:pt idx="3">
                  <c:v>94.1</c:v>
                </c:pt>
              </c:numCache>
            </c:numRef>
          </c:val>
          <c:smooth val="0"/>
          <c:extLst>
            <c:ext xmlns:c16="http://schemas.microsoft.com/office/drawing/2014/chart" uri="{C3380CC4-5D6E-409C-BE32-E72D297353CC}">
              <c16:uniqueId val="{00000002-0BDC-46C6-83A9-EBD1B6377820}"/>
            </c:ext>
          </c:extLst>
        </c:ser>
        <c:dLbls>
          <c:showLegendKey val="0"/>
          <c:showVal val="0"/>
          <c:showCatName val="0"/>
          <c:showSerName val="0"/>
          <c:showPercent val="0"/>
          <c:showBubbleSize val="0"/>
        </c:dLbls>
        <c:marker val="1"/>
        <c:smooth val="0"/>
        <c:axId val="869673776"/>
        <c:axId val="869672792"/>
      </c:lineChart>
      <c:catAx>
        <c:axId val="86967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869672792"/>
        <c:crosses val="autoZero"/>
        <c:auto val="1"/>
        <c:lblAlgn val="ctr"/>
        <c:lblOffset val="100"/>
        <c:noMultiLvlLbl val="0"/>
      </c:catAx>
      <c:valAx>
        <c:axId val="869672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86967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Safety!$B$63</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Safety!$A$86:$A$87</c:f>
              <c:strCache>
                <c:ptCount val="2"/>
                <c:pt idx="0">
                  <c:v>Male</c:v>
                </c:pt>
                <c:pt idx="1">
                  <c:v>Female</c:v>
                </c:pt>
              </c:strCache>
            </c:strRef>
          </c:cat>
          <c:val>
            <c:numRef>
              <c:f>Safety!$B$86:$B$87</c:f>
              <c:numCache>
                <c:formatCode>0.0%</c:formatCode>
                <c:ptCount val="2"/>
                <c:pt idx="0">
                  <c:v>0.64010989010989006</c:v>
                </c:pt>
                <c:pt idx="1">
                  <c:v>0.31850117096018737</c:v>
                </c:pt>
              </c:numCache>
            </c:numRef>
          </c:val>
          <c:extLst>
            <c:ext xmlns:c16="http://schemas.microsoft.com/office/drawing/2014/chart" uri="{C3380CC4-5D6E-409C-BE32-E72D297353CC}">
              <c16:uniqueId val="{00000000-DE6A-438E-8391-2354C4673846}"/>
            </c:ext>
          </c:extLst>
        </c:ser>
        <c:ser>
          <c:idx val="1"/>
          <c:order val="1"/>
          <c:tx>
            <c:strRef>
              <c:f>Safety!$C$63</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Safety!$A$86:$A$87</c:f>
              <c:strCache>
                <c:ptCount val="2"/>
                <c:pt idx="0">
                  <c:v>Male</c:v>
                </c:pt>
                <c:pt idx="1">
                  <c:v>Female</c:v>
                </c:pt>
              </c:strCache>
            </c:strRef>
          </c:cat>
          <c:val>
            <c:numRef>
              <c:f>Safety!$C$86:$C$87</c:f>
              <c:numCache>
                <c:formatCode>0.0%</c:formatCode>
                <c:ptCount val="2"/>
                <c:pt idx="0">
                  <c:v>0.54200000000000004</c:v>
                </c:pt>
                <c:pt idx="1">
                  <c:v>0.38100000000000001</c:v>
                </c:pt>
              </c:numCache>
            </c:numRef>
          </c:val>
          <c:extLst>
            <c:ext xmlns:c16="http://schemas.microsoft.com/office/drawing/2014/chart" uri="{C3380CC4-5D6E-409C-BE32-E72D297353CC}">
              <c16:uniqueId val="{00000001-DE6A-438E-8391-2354C4673846}"/>
            </c:ext>
          </c:extLst>
        </c:ser>
        <c:ser>
          <c:idx val="2"/>
          <c:order val="2"/>
          <c:tx>
            <c:strRef>
              <c:f>Safety!$D$63</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Safety!$A$86:$A$87</c:f>
              <c:strCache>
                <c:ptCount val="2"/>
                <c:pt idx="0">
                  <c:v>Male</c:v>
                </c:pt>
                <c:pt idx="1">
                  <c:v>Female</c:v>
                </c:pt>
              </c:strCache>
            </c:strRef>
          </c:cat>
          <c:val>
            <c:numRef>
              <c:f>Safety!$D$86:$D$87</c:f>
              <c:numCache>
                <c:formatCode>0.0%</c:formatCode>
                <c:ptCount val="2"/>
                <c:pt idx="0">
                  <c:v>0.57399999999999995</c:v>
                </c:pt>
                <c:pt idx="1">
                  <c:v>0.34499999999999997</c:v>
                </c:pt>
              </c:numCache>
            </c:numRef>
          </c:val>
          <c:extLst>
            <c:ext xmlns:c16="http://schemas.microsoft.com/office/drawing/2014/chart" uri="{C3380CC4-5D6E-409C-BE32-E72D297353CC}">
              <c16:uniqueId val="{00000002-DE6A-438E-8391-2354C4673846}"/>
            </c:ext>
          </c:extLst>
        </c:ser>
        <c:dLbls>
          <c:dLblPos val="inBase"/>
          <c:showLegendKey val="0"/>
          <c:showVal val="1"/>
          <c:showCatName val="0"/>
          <c:showSerName val="0"/>
          <c:showPercent val="0"/>
          <c:showBubbleSize val="0"/>
        </c:dLbls>
        <c:gapWidth val="25"/>
        <c:axId val="597067520"/>
        <c:axId val="597066864"/>
      </c:barChart>
      <c:catAx>
        <c:axId val="59706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066864"/>
        <c:crosses val="autoZero"/>
        <c:auto val="1"/>
        <c:lblAlgn val="ctr"/>
        <c:lblOffset val="100"/>
        <c:noMultiLvlLbl val="0"/>
      </c:catAx>
      <c:valAx>
        <c:axId val="597066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06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Health!$B$32</c:f>
              <c:strCache>
                <c:ptCount val="1"/>
                <c:pt idx="0">
                  <c:v>%</c:v>
                </c:pt>
              </c:strCache>
            </c:strRef>
          </c:tx>
          <c:spPr>
            <a:solidFill>
              <a:schemeClr val="accent1"/>
            </a:solidFill>
            <a:ln>
              <a:noFill/>
            </a:ln>
            <a:effectLst/>
          </c:spPr>
          <c:invertIfNegative val="0"/>
          <c:dPt>
            <c:idx val="0"/>
            <c:invertIfNegative val="0"/>
            <c:bubble3D val="0"/>
            <c:spPr>
              <a:solidFill>
                <a:srgbClr val="6A4479"/>
              </a:solidFill>
              <a:ln>
                <a:noFill/>
              </a:ln>
              <a:effectLst/>
            </c:spPr>
            <c:extLst>
              <c:ext xmlns:c16="http://schemas.microsoft.com/office/drawing/2014/chart" uri="{C3380CC4-5D6E-409C-BE32-E72D297353CC}">
                <c16:uniqueId val="{00000001-F67D-4137-B381-174F44CDC814}"/>
              </c:ext>
            </c:extLst>
          </c:dPt>
          <c:dPt>
            <c:idx val="1"/>
            <c:invertIfNegative val="0"/>
            <c:bubble3D val="0"/>
            <c:spPr>
              <a:solidFill>
                <a:srgbClr val="31788F"/>
              </a:solidFill>
              <a:ln>
                <a:noFill/>
              </a:ln>
              <a:effectLst/>
            </c:spPr>
            <c:extLst>
              <c:ext xmlns:c16="http://schemas.microsoft.com/office/drawing/2014/chart" uri="{C3380CC4-5D6E-409C-BE32-E72D297353CC}">
                <c16:uniqueId val="{00000003-F67D-4137-B381-174F44CDC814}"/>
              </c:ext>
            </c:extLst>
          </c:dPt>
          <c:dPt>
            <c:idx val="2"/>
            <c:invertIfNegative val="0"/>
            <c:bubble3D val="0"/>
            <c:spPr>
              <a:solidFill>
                <a:srgbClr val="E55048"/>
              </a:solidFill>
              <a:ln>
                <a:noFill/>
              </a:ln>
              <a:effectLst/>
            </c:spPr>
            <c:extLst>
              <c:ext xmlns:c16="http://schemas.microsoft.com/office/drawing/2014/chart" uri="{C3380CC4-5D6E-409C-BE32-E72D297353CC}">
                <c16:uniqueId val="{00000005-F67D-4137-B381-174F44CDC8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Health!$A$33:$A$35</c:f>
              <c:strCache>
                <c:ptCount val="3"/>
                <c:pt idx="0">
                  <c:v>Western Melbourne Area</c:v>
                </c:pt>
                <c:pt idx="1">
                  <c:v>Victoria </c:v>
                </c:pt>
                <c:pt idx="2">
                  <c:v>Moonee Valley</c:v>
                </c:pt>
              </c:strCache>
            </c:strRef>
          </c:cat>
          <c:val>
            <c:numRef>
              <c:f>Health!$B$33:$B$35</c:f>
              <c:numCache>
                <c:formatCode>0.0%</c:formatCode>
                <c:ptCount val="3"/>
                <c:pt idx="0" formatCode="0.00%">
                  <c:v>0.41570000000000001</c:v>
                </c:pt>
                <c:pt idx="1">
                  <c:v>0.4163</c:v>
                </c:pt>
                <c:pt idx="2">
                  <c:v>0.47539999999999999</c:v>
                </c:pt>
              </c:numCache>
            </c:numRef>
          </c:val>
          <c:extLst>
            <c:ext xmlns:c16="http://schemas.microsoft.com/office/drawing/2014/chart" uri="{C3380CC4-5D6E-409C-BE32-E72D297353CC}">
              <c16:uniqueId val="{00000006-F67D-4137-B381-174F44CDC814}"/>
            </c:ext>
          </c:extLst>
        </c:ser>
        <c:dLbls>
          <c:dLblPos val="inBase"/>
          <c:showLegendKey val="0"/>
          <c:showVal val="1"/>
          <c:showCatName val="0"/>
          <c:showSerName val="0"/>
          <c:showPercent val="0"/>
          <c:showBubbleSize val="0"/>
        </c:dLbls>
        <c:gapWidth val="25"/>
        <c:axId val="162880728"/>
        <c:axId val="162881712"/>
      </c:barChart>
      <c:catAx>
        <c:axId val="162880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81712"/>
        <c:crosses val="autoZero"/>
        <c:auto val="1"/>
        <c:lblAlgn val="ctr"/>
        <c:lblOffset val="100"/>
        <c:noMultiLvlLbl val="0"/>
      </c:catAx>
      <c:valAx>
        <c:axId val="162881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80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71371503781971"/>
          <c:y val="0.23697221053475187"/>
          <c:w val="0.68484254717427184"/>
          <c:h val="0.48171264851435558"/>
        </c:manualLayout>
      </c:layout>
      <c:barChart>
        <c:barDir val="bar"/>
        <c:grouping val="clustered"/>
        <c:varyColors val="0"/>
        <c:ser>
          <c:idx val="0"/>
          <c:order val="0"/>
          <c:tx>
            <c:strRef>
              <c:f>Health!$A$20</c:f>
              <c:strCache>
                <c:ptCount val="1"/>
                <c:pt idx="0">
                  <c:v>Women</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Health!$A$21:$A$23</c:f>
              <c:strCache>
                <c:ptCount val="3"/>
                <c:pt idx="0">
                  <c:v>Fair / Poor</c:v>
                </c:pt>
                <c:pt idx="1">
                  <c:v>Good</c:v>
                </c:pt>
                <c:pt idx="2">
                  <c:v>Excellent / Very Good</c:v>
                </c:pt>
              </c:strCache>
            </c:strRef>
          </c:cat>
          <c:val>
            <c:numRef>
              <c:f>Health!$B$21:$B$23</c:f>
              <c:numCache>
                <c:formatCode>0.0%</c:formatCode>
                <c:ptCount val="3"/>
                <c:pt idx="0">
                  <c:v>0.182</c:v>
                </c:pt>
                <c:pt idx="1">
                  <c:v>0.27900000000000003</c:v>
                </c:pt>
                <c:pt idx="2">
                  <c:v>0.53700000000000003</c:v>
                </c:pt>
              </c:numCache>
            </c:numRef>
          </c:val>
          <c:extLst>
            <c:ext xmlns:c16="http://schemas.microsoft.com/office/drawing/2014/chart" uri="{C3380CC4-5D6E-409C-BE32-E72D297353CC}">
              <c16:uniqueId val="{00000000-4239-4905-8F89-E2A9F3C99190}"/>
            </c:ext>
          </c:extLst>
        </c:ser>
        <c:ser>
          <c:idx val="1"/>
          <c:order val="1"/>
          <c:tx>
            <c:strRef>
              <c:f>Health!$A$26</c:f>
              <c:strCache>
                <c:ptCount val="1"/>
                <c:pt idx="0">
                  <c:v>Men</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Health!$A$21:$A$23</c:f>
              <c:strCache>
                <c:ptCount val="3"/>
                <c:pt idx="0">
                  <c:v>Fair / Poor</c:v>
                </c:pt>
                <c:pt idx="1">
                  <c:v>Good</c:v>
                </c:pt>
                <c:pt idx="2">
                  <c:v>Excellent / Very Good</c:v>
                </c:pt>
              </c:strCache>
            </c:strRef>
          </c:cat>
          <c:val>
            <c:numRef>
              <c:f>Health!$B$27:$B$29</c:f>
              <c:numCache>
                <c:formatCode>0.00%</c:formatCode>
                <c:ptCount val="3"/>
                <c:pt idx="0">
                  <c:v>0.16600000000000001</c:v>
                </c:pt>
                <c:pt idx="1">
                  <c:v>0.42299999999999999</c:v>
                </c:pt>
                <c:pt idx="2">
                  <c:v>0.41099999999999998</c:v>
                </c:pt>
              </c:numCache>
            </c:numRef>
          </c:val>
          <c:extLst>
            <c:ext xmlns:c16="http://schemas.microsoft.com/office/drawing/2014/chart" uri="{C3380CC4-5D6E-409C-BE32-E72D297353CC}">
              <c16:uniqueId val="{00000001-4239-4905-8F89-E2A9F3C99190}"/>
            </c:ext>
          </c:extLst>
        </c:ser>
        <c:dLbls>
          <c:dLblPos val="inBase"/>
          <c:showLegendKey val="0"/>
          <c:showVal val="1"/>
          <c:showCatName val="0"/>
          <c:showSerName val="0"/>
          <c:showPercent val="0"/>
          <c:showBubbleSize val="0"/>
        </c:dLbls>
        <c:gapWidth val="25"/>
        <c:axId val="733333096"/>
        <c:axId val="733333752"/>
      </c:barChart>
      <c:catAx>
        <c:axId val="733333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333752"/>
        <c:crosses val="autoZero"/>
        <c:auto val="1"/>
        <c:lblAlgn val="ctr"/>
        <c:lblOffset val="100"/>
        <c:noMultiLvlLbl val="0"/>
      </c:catAx>
      <c:valAx>
        <c:axId val="733333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manualLayout>
              <c:xMode val="edge"/>
              <c:yMode val="edge"/>
              <c:x val="0.45440866812469549"/>
              <c:y val="0.806207849972951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333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Health!$B$3</c:f>
              <c:strCache>
                <c:ptCount val="1"/>
                <c:pt idx="0">
                  <c:v>2021</c:v>
                </c:pt>
              </c:strCache>
            </c:strRef>
          </c:tx>
          <c:spPr>
            <a:solidFill>
              <a:schemeClr val="accent1"/>
            </a:solidFill>
            <a:ln>
              <a:noFill/>
            </a:ln>
            <a:effectLst/>
          </c:spPr>
          <c:invertIfNegative val="0"/>
          <c:cat>
            <c:strRef>
              <c:f>Health!$A$6:$A$18</c:f>
              <c:strCache>
                <c:ptCount val="13"/>
                <c:pt idx="0">
                  <c:v>Strathmore Heights</c:v>
                </c:pt>
                <c:pt idx="1">
                  <c:v>Strathmore</c:v>
                </c:pt>
                <c:pt idx="2">
                  <c:v>Niddrie / Essendon West</c:v>
                </c:pt>
                <c:pt idx="3">
                  <c:v>Moonee Ponds</c:v>
                </c:pt>
                <c:pt idx="4">
                  <c:v>Milleara</c:v>
                </c:pt>
                <c:pt idx="5">
                  <c:v>Keilor Road / Essendon North</c:v>
                </c:pt>
                <c:pt idx="6">
                  <c:v>Keilor East</c:v>
                </c:pt>
                <c:pt idx="7">
                  <c:v>Flemington</c:v>
                </c:pt>
                <c:pt idx="8">
                  <c:v>Essendon</c:v>
                </c:pt>
                <c:pt idx="9">
                  <c:v>Avondale Heights</c:v>
                </c:pt>
                <c:pt idx="10">
                  <c:v>Ascot Vale</c:v>
                </c:pt>
                <c:pt idx="11">
                  <c:v>Airport West</c:v>
                </c:pt>
                <c:pt idx="12">
                  <c:v>Aberfeldie</c:v>
                </c:pt>
              </c:strCache>
            </c:strRef>
          </c:cat>
          <c:val>
            <c:numRef>
              <c:f>Health!$B$6:$B$18</c:f>
              <c:numCache>
                <c:formatCode>0.0%</c:formatCode>
                <c:ptCount val="13"/>
                <c:pt idx="0">
                  <c:v>0.68421052631578949</c:v>
                </c:pt>
                <c:pt idx="1">
                  <c:v>0.63043478260869568</c:v>
                </c:pt>
                <c:pt idx="2">
                  <c:v>0.69230769230769229</c:v>
                </c:pt>
                <c:pt idx="3">
                  <c:v>0.64347826086956517</c:v>
                </c:pt>
                <c:pt idx="4">
                  <c:v>0.620253164556962</c:v>
                </c:pt>
                <c:pt idx="5">
                  <c:v>0.66666666666666663</c:v>
                </c:pt>
                <c:pt idx="6">
                  <c:v>0.6</c:v>
                </c:pt>
                <c:pt idx="7">
                  <c:v>0.58015267175572516</c:v>
                </c:pt>
                <c:pt idx="8">
                  <c:v>0.580952380952381</c:v>
                </c:pt>
                <c:pt idx="9">
                  <c:v>0.6097560975609756</c:v>
                </c:pt>
                <c:pt idx="10">
                  <c:v>0.5074626865671642</c:v>
                </c:pt>
                <c:pt idx="11">
                  <c:v>0.47619047619047616</c:v>
                </c:pt>
                <c:pt idx="12">
                  <c:v>0.64864864864864868</c:v>
                </c:pt>
              </c:numCache>
            </c:numRef>
          </c:val>
          <c:extLst>
            <c:ext xmlns:c16="http://schemas.microsoft.com/office/drawing/2014/chart" uri="{C3380CC4-5D6E-409C-BE32-E72D297353CC}">
              <c16:uniqueId val="{00000000-F4B7-4F4C-8B4E-38A1FE721BD3}"/>
            </c:ext>
          </c:extLst>
        </c:ser>
        <c:ser>
          <c:idx val="1"/>
          <c:order val="1"/>
          <c:tx>
            <c:strRef>
              <c:f>Health!$C$3</c:f>
              <c:strCache>
                <c:ptCount val="1"/>
                <c:pt idx="0">
                  <c:v>2020</c:v>
                </c:pt>
              </c:strCache>
            </c:strRef>
          </c:tx>
          <c:spPr>
            <a:solidFill>
              <a:schemeClr val="accent2"/>
            </a:solidFill>
            <a:ln>
              <a:noFill/>
            </a:ln>
            <a:effectLst/>
          </c:spPr>
          <c:invertIfNegative val="0"/>
          <c:cat>
            <c:strRef>
              <c:f>Health!$A$6:$A$18</c:f>
              <c:strCache>
                <c:ptCount val="13"/>
                <c:pt idx="0">
                  <c:v>Strathmore Heights</c:v>
                </c:pt>
                <c:pt idx="1">
                  <c:v>Strathmore</c:v>
                </c:pt>
                <c:pt idx="2">
                  <c:v>Niddrie / Essendon West</c:v>
                </c:pt>
                <c:pt idx="3">
                  <c:v>Moonee Ponds</c:v>
                </c:pt>
                <c:pt idx="4">
                  <c:v>Milleara</c:v>
                </c:pt>
                <c:pt idx="5">
                  <c:v>Keilor Road / Essendon North</c:v>
                </c:pt>
                <c:pt idx="6">
                  <c:v>Keilor East</c:v>
                </c:pt>
                <c:pt idx="7">
                  <c:v>Flemington</c:v>
                </c:pt>
                <c:pt idx="8">
                  <c:v>Essendon</c:v>
                </c:pt>
                <c:pt idx="9">
                  <c:v>Avondale Heights</c:v>
                </c:pt>
                <c:pt idx="10">
                  <c:v>Ascot Vale</c:v>
                </c:pt>
                <c:pt idx="11">
                  <c:v>Airport West</c:v>
                </c:pt>
                <c:pt idx="12">
                  <c:v>Aberfeldie</c:v>
                </c:pt>
              </c:strCache>
            </c:strRef>
          </c:cat>
          <c:val>
            <c:numRef>
              <c:f>Health!$C$6:$C$18</c:f>
              <c:numCache>
                <c:formatCode>0.0%</c:formatCode>
                <c:ptCount val="13"/>
                <c:pt idx="0">
                  <c:v>0.51500000000000001</c:v>
                </c:pt>
                <c:pt idx="1">
                  <c:v>0.73599999999999999</c:v>
                </c:pt>
                <c:pt idx="2">
                  <c:v>0.754</c:v>
                </c:pt>
                <c:pt idx="3">
                  <c:v>0.63400000000000001</c:v>
                </c:pt>
                <c:pt idx="4">
                  <c:v>0.48699999999999999</c:v>
                </c:pt>
                <c:pt idx="5">
                  <c:v>0.72699999999999998</c:v>
                </c:pt>
                <c:pt idx="6">
                  <c:v>0.71899999999999997</c:v>
                </c:pt>
                <c:pt idx="7">
                  <c:v>0.66100000000000003</c:v>
                </c:pt>
                <c:pt idx="8">
                  <c:v>0.69799999999999995</c:v>
                </c:pt>
                <c:pt idx="9">
                  <c:v>0.746</c:v>
                </c:pt>
                <c:pt idx="10">
                  <c:v>0.745</c:v>
                </c:pt>
                <c:pt idx="11">
                  <c:v>0.627</c:v>
                </c:pt>
                <c:pt idx="12">
                  <c:v>0.55900000000000005</c:v>
                </c:pt>
              </c:numCache>
            </c:numRef>
          </c:val>
          <c:extLst>
            <c:ext xmlns:c16="http://schemas.microsoft.com/office/drawing/2014/chart" uri="{C3380CC4-5D6E-409C-BE32-E72D297353CC}">
              <c16:uniqueId val="{00000001-F4B7-4F4C-8B4E-38A1FE721BD3}"/>
            </c:ext>
          </c:extLst>
        </c:ser>
        <c:ser>
          <c:idx val="2"/>
          <c:order val="2"/>
          <c:tx>
            <c:strRef>
              <c:f>Health!$D$3</c:f>
              <c:strCache>
                <c:ptCount val="1"/>
                <c:pt idx="0">
                  <c:v>2019</c:v>
                </c:pt>
              </c:strCache>
            </c:strRef>
          </c:tx>
          <c:spPr>
            <a:solidFill>
              <a:schemeClr val="accent3"/>
            </a:solidFill>
            <a:ln>
              <a:noFill/>
            </a:ln>
            <a:effectLst/>
          </c:spPr>
          <c:invertIfNegative val="0"/>
          <c:cat>
            <c:strRef>
              <c:f>Health!$A$6:$A$18</c:f>
              <c:strCache>
                <c:ptCount val="13"/>
                <c:pt idx="0">
                  <c:v>Strathmore Heights</c:v>
                </c:pt>
                <c:pt idx="1">
                  <c:v>Strathmore</c:v>
                </c:pt>
                <c:pt idx="2">
                  <c:v>Niddrie / Essendon West</c:v>
                </c:pt>
                <c:pt idx="3">
                  <c:v>Moonee Ponds</c:v>
                </c:pt>
                <c:pt idx="4">
                  <c:v>Milleara</c:v>
                </c:pt>
                <c:pt idx="5">
                  <c:v>Keilor Road / Essendon North</c:v>
                </c:pt>
                <c:pt idx="6">
                  <c:v>Keilor East</c:v>
                </c:pt>
                <c:pt idx="7">
                  <c:v>Flemington</c:v>
                </c:pt>
                <c:pt idx="8">
                  <c:v>Essendon</c:v>
                </c:pt>
                <c:pt idx="9">
                  <c:v>Avondale Heights</c:v>
                </c:pt>
                <c:pt idx="10">
                  <c:v>Ascot Vale</c:v>
                </c:pt>
                <c:pt idx="11">
                  <c:v>Airport West</c:v>
                </c:pt>
                <c:pt idx="12">
                  <c:v>Aberfeldie</c:v>
                </c:pt>
              </c:strCache>
            </c:strRef>
          </c:cat>
          <c:val>
            <c:numRef>
              <c:f>Health!$D$6:$D$18</c:f>
              <c:numCache>
                <c:formatCode>0.0%</c:formatCode>
                <c:ptCount val="13"/>
                <c:pt idx="0">
                  <c:v>0.75</c:v>
                </c:pt>
                <c:pt idx="1">
                  <c:v>0.75900000000000001</c:v>
                </c:pt>
                <c:pt idx="2">
                  <c:v>0.73399999999999999</c:v>
                </c:pt>
                <c:pt idx="3">
                  <c:v>0.77</c:v>
                </c:pt>
                <c:pt idx="4">
                  <c:v>0.59799999999999998</c:v>
                </c:pt>
                <c:pt idx="5">
                  <c:v>0.63500000000000001</c:v>
                </c:pt>
                <c:pt idx="6">
                  <c:v>0.53300000000000003</c:v>
                </c:pt>
                <c:pt idx="7">
                  <c:v>0.73</c:v>
                </c:pt>
                <c:pt idx="8">
                  <c:v>0.68300000000000005</c:v>
                </c:pt>
                <c:pt idx="9">
                  <c:v>0.32</c:v>
                </c:pt>
                <c:pt idx="10">
                  <c:v>0.61899999999999999</c:v>
                </c:pt>
                <c:pt idx="11">
                  <c:v>0.47199999999999998</c:v>
                </c:pt>
                <c:pt idx="12">
                  <c:v>0.64900000000000002</c:v>
                </c:pt>
              </c:numCache>
            </c:numRef>
          </c:val>
          <c:extLst>
            <c:ext xmlns:c16="http://schemas.microsoft.com/office/drawing/2014/chart" uri="{C3380CC4-5D6E-409C-BE32-E72D297353CC}">
              <c16:uniqueId val="{00000002-F4B7-4F4C-8B4E-38A1FE721BD3}"/>
            </c:ext>
          </c:extLst>
        </c:ser>
        <c:dLbls>
          <c:showLegendKey val="0"/>
          <c:showVal val="0"/>
          <c:showCatName val="0"/>
          <c:showSerName val="0"/>
          <c:showPercent val="0"/>
          <c:showBubbleSize val="0"/>
        </c:dLbls>
        <c:gapWidth val="25"/>
        <c:axId val="596307160"/>
        <c:axId val="596307488"/>
      </c:barChart>
      <c:catAx>
        <c:axId val="596307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307488"/>
        <c:crosses val="autoZero"/>
        <c:auto val="1"/>
        <c:lblAlgn val="ctr"/>
        <c:lblOffset val="100"/>
        <c:noMultiLvlLbl val="0"/>
      </c:catAx>
      <c:valAx>
        <c:axId val="5963074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3071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36750553239669"/>
          <c:y val="0.12775045094671808"/>
          <c:w val="0.68972295129775441"/>
          <c:h val="0.73979845111953602"/>
        </c:manualLayout>
      </c:layout>
      <c:barChart>
        <c:barDir val="bar"/>
        <c:grouping val="clustered"/>
        <c:varyColors val="0"/>
        <c:ser>
          <c:idx val="0"/>
          <c:order val="0"/>
          <c:tx>
            <c:strRef>
              <c:f>Health!$B$55</c:f>
              <c:strCache>
                <c:ptCount val="1"/>
                <c:pt idx="0">
                  <c:v>Moonee Valley</c:v>
                </c:pt>
              </c:strCache>
            </c:strRef>
          </c:tx>
          <c:spPr>
            <a:solidFill>
              <a:srgbClr val="E55048"/>
            </a:solidFill>
            <a:ln>
              <a:noFill/>
            </a:ln>
            <a:effectLst/>
          </c:spPr>
          <c:invertIfNegative val="0"/>
          <c:dLbls>
            <c:dLbl>
              <c:idx val="0"/>
              <c:layout>
                <c:manualLayout>
                  <c:x val="1.5250544662309368E-2"/>
                  <c:y val="-2.5157232704402514E-3"/>
                </c:manualLayout>
              </c:layout>
              <c:spPr>
                <a:noFill/>
                <a:ln>
                  <a:noFill/>
                </a:ln>
                <a:effectLst/>
              </c:spPr>
              <c:txPr>
                <a:bodyPr rot="0" spcFirstLastPara="1" vertOverflow="clip" horzOverflow="clip" vert="horz" wrap="square" lIns="108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9130-454B-8EEA-C609F2A8C195}"/>
                </c:ext>
              </c:extLst>
            </c:dLbl>
            <c:dLbl>
              <c:idx val="1"/>
              <c:layout>
                <c:manualLayout>
                  <c:x val="2.6143790849673203E-2"/>
                  <c:y val="9.224212099395617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30-454B-8EEA-C609F2A8C195}"/>
                </c:ext>
              </c:extLst>
            </c:dLbl>
            <c:dLbl>
              <c:idx val="2"/>
              <c:spPr>
                <a:noFill/>
                <a:ln>
                  <a:noFill/>
                </a:ln>
                <a:effectLst/>
              </c:spPr>
              <c:txPr>
                <a:bodyPr rot="0" spcFirstLastPara="1" vertOverflow="clip" horzOverflow="clip" vert="horz" wrap="square" lIns="108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9130-454B-8EEA-C609F2A8C195}"/>
                </c:ext>
              </c:extLst>
            </c:dLbl>
            <c:dLbl>
              <c:idx val="3"/>
              <c:layout>
                <c:manualLayout>
                  <c:x val="1.0893246187363755E-2"/>
                  <c:y val="0"/>
                </c:manualLayout>
              </c:layout>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9130-454B-8EEA-C609F2A8C195}"/>
                </c:ext>
              </c:extLst>
            </c:dLbl>
            <c:dLbl>
              <c:idx val="4"/>
              <c:layout>
                <c:manualLayout>
                  <c:x val="1.3071895424836602E-2"/>
                  <c:y val="-2.5157232704402514E-3"/>
                </c:manualLayout>
              </c:layout>
              <c:spPr>
                <a:noFill/>
                <a:ln>
                  <a:noFill/>
                </a:ln>
                <a:effectLst/>
              </c:spPr>
              <c:txPr>
                <a:bodyPr rot="0" spcFirstLastPara="1" vertOverflow="clip" horzOverflow="clip" vert="horz" wrap="square" lIns="180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9130-454B-8EEA-C609F2A8C195}"/>
                </c:ext>
              </c:extLst>
            </c:dLbl>
            <c:dLbl>
              <c:idx val="5"/>
              <c:layout>
                <c:manualLayout>
                  <c:x val="2.3965141612200435E-2"/>
                  <c:y val="-9.2242120993956171E-17"/>
                </c:manualLayout>
              </c:layout>
              <c:spPr>
                <a:noFill/>
                <a:ln>
                  <a:noFill/>
                </a:ln>
                <a:effectLst/>
              </c:spPr>
              <c:txPr>
                <a:bodyPr rot="0" spcFirstLastPara="1" vertOverflow="clip" horzOverflow="clip" vert="horz" wrap="square" lIns="216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9130-454B-8EEA-C609F2A8C195}"/>
                </c:ext>
              </c:extLst>
            </c:dLbl>
            <c:dLbl>
              <c:idx val="6"/>
              <c:layout>
                <c:manualLayout>
                  <c:x val="3.7037037037036959E-2"/>
                  <c:y val="-4.6121060496978085E-17"/>
                </c:manualLayout>
              </c:layout>
              <c:spPr>
                <a:noFill/>
                <a:ln>
                  <a:noFill/>
                </a:ln>
                <a:effectLst/>
              </c:spPr>
              <c:txPr>
                <a:bodyPr rot="0" spcFirstLastPara="1" vertOverflow="clip" horzOverflow="clip" vert="horz" wrap="square" lIns="360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9130-454B-8EEA-C609F2A8C195}"/>
                </c:ext>
              </c:extLst>
            </c:dLbl>
            <c:dLbl>
              <c:idx val="7"/>
              <c:layout>
                <c:manualLayout>
                  <c:x val="2.8322440087145968E-2"/>
                  <c:y val="0"/>
                </c:manualLayout>
              </c:layout>
              <c:spPr>
                <a:noFill/>
                <a:ln>
                  <a:noFill/>
                </a:ln>
                <a:effectLst/>
              </c:spPr>
              <c:txPr>
                <a:bodyPr rot="0" spcFirstLastPara="1" vertOverflow="clip" horzOverflow="clip" vert="horz" wrap="square" lIns="324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6-9130-454B-8EEA-C609F2A8C195}"/>
                </c:ext>
              </c:extLst>
            </c:dLbl>
            <c:dLbl>
              <c:idx val="8"/>
              <c:layout>
                <c:manualLayout>
                  <c:x val="3.4858387799564274E-2"/>
                  <c:y val="-2.5157232704402514E-3"/>
                </c:manualLayout>
              </c:layout>
              <c:spPr>
                <a:noFill/>
                <a:ln>
                  <a:noFill/>
                </a:ln>
                <a:effectLst/>
              </c:spPr>
              <c:txPr>
                <a:bodyPr rot="0" spcFirstLastPara="1" vertOverflow="clip" horzOverflow="clip" vert="horz" wrap="square" lIns="432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9130-454B-8EEA-C609F2A8C195}"/>
                </c:ext>
              </c:extLst>
            </c:dLbl>
            <c:spPr>
              <a:noFill/>
              <a:ln>
                <a:noFill/>
              </a:ln>
              <a:effectLst/>
            </c:spPr>
            <c:txPr>
              <a:bodyPr rot="0" spcFirstLastPara="1" vertOverflow="clip" horzOverflow="clip" vert="horz" wrap="square" lIns="396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Health!$A$57:$A$65</c:f>
              <c:strCache>
                <c:ptCount val="9"/>
                <c:pt idx="0">
                  <c:v>Stroke</c:v>
                </c:pt>
                <c:pt idx="1">
                  <c:v>Type 2 diabetes</c:v>
                </c:pt>
                <c:pt idx="2">
                  <c:v>Osteoporosis</c:v>
                </c:pt>
                <c:pt idx="3">
                  <c:v>Heart disease</c:v>
                </c:pt>
                <c:pt idx="4">
                  <c:v>Cancer</c:v>
                </c:pt>
                <c:pt idx="5">
                  <c:v>Arthritis</c:v>
                </c:pt>
                <c:pt idx="6">
                  <c:v>Asthma ever diagnosed</c:v>
                </c:pt>
                <c:pt idx="7">
                  <c:v>Two or more chronic diseases</c:v>
                </c:pt>
                <c:pt idx="8">
                  <c:v>Anxiety or depression</c:v>
                </c:pt>
              </c:strCache>
            </c:strRef>
          </c:cat>
          <c:val>
            <c:numRef>
              <c:f>Health!$B$57:$B$65</c:f>
              <c:numCache>
                <c:formatCode>0.0%</c:formatCode>
                <c:ptCount val="9"/>
                <c:pt idx="0">
                  <c:v>2.1000000000000001E-2</c:v>
                </c:pt>
                <c:pt idx="1">
                  <c:v>3.3000000000000002E-2</c:v>
                </c:pt>
                <c:pt idx="2">
                  <c:v>4.8000000000000001E-2</c:v>
                </c:pt>
                <c:pt idx="3">
                  <c:v>6.6000000000000003E-2</c:v>
                </c:pt>
                <c:pt idx="4">
                  <c:v>0.08</c:v>
                </c:pt>
                <c:pt idx="5">
                  <c:v>0.152</c:v>
                </c:pt>
                <c:pt idx="6">
                  <c:v>0.215</c:v>
                </c:pt>
                <c:pt idx="7">
                  <c:v>0.23</c:v>
                </c:pt>
                <c:pt idx="8">
                  <c:v>0.30399999999999999</c:v>
                </c:pt>
              </c:numCache>
            </c:numRef>
          </c:val>
          <c:extLst>
            <c:ext xmlns:c16="http://schemas.microsoft.com/office/drawing/2014/chart" uri="{C3380CC4-5D6E-409C-BE32-E72D297353CC}">
              <c16:uniqueId val="{00000008-9130-454B-8EEA-C609F2A8C195}"/>
            </c:ext>
          </c:extLst>
        </c:ser>
        <c:ser>
          <c:idx val="1"/>
          <c:order val="1"/>
          <c:tx>
            <c:strRef>
              <c:f>Health!$G$55</c:f>
              <c:strCache>
                <c:ptCount val="1"/>
                <c:pt idx="0">
                  <c:v>Victoria</c:v>
                </c:pt>
              </c:strCache>
            </c:strRef>
          </c:tx>
          <c:spPr>
            <a:solidFill>
              <a:srgbClr val="31788F"/>
            </a:solidFill>
            <a:ln>
              <a:noFill/>
            </a:ln>
            <a:effectLst/>
          </c:spPr>
          <c:invertIfNegative val="0"/>
          <c:dLbls>
            <c:dLbl>
              <c:idx val="6"/>
              <c:layout>
                <c:manualLayout>
                  <c:x val="1.089324618736367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30-454B-8EEA-C609F2A8C195}"/>
                </c:ext>
              </c:extLst>
            </c:dLbl>
            <c:dLbl>
              <c:idx val="7"/>
              <c:layout>
                <c:manualLayout>
                  <c:x val="8.714596949891068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30-454B-8EEA-C609F2A8C195}"/>
                </c:ext>
              </c:extLst>
            </c:dLbl>
            <c:dLbl>
              <c:idx val="8"/>
              <c:layout>
                <c:manualLayout>
                  <c:x val="4.1394335511982572E-2"/>
                  <c:y val="-2.3060530248489043E-17"/>
                </c:manualLayout>
              </c:layout>
              <c:spPr>
                <a:noFill/>
                <a:ln>
                  <a:noFill/>
                </a:ln>
                <a:effectLst/>
              </c:spPr>
              <c:txPr>
                <a:bodyPr rot="0" spcFirstLastPara="1" vertOverflow="clip" horzOverflow="clip" vert="horz" wrap="square" lIns="504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9130-454B-8EEA-C609F2A8C195}"/>
                </c:ext>
              </c:extLst>
            </c:dLbl>
            <c:spPr>
              <a:noFill/>
              <a:ln>
                <a:noFill/>
              </a:ln>
              <a:effectLst/>
            </c:spPr>
            <c:txPr>
              <a:bodyPr rot="0" spcFirstLastPara="1" vertOverflow="clip" horzOverflow="clip" vert="horz" wrap="square" lIns="36000" tIns="19050" rIns="38100" bIns="19050" anchor="ctr" anchorCtr="1">
                <a:spAutoFit/>
              </a:bodyPr>
              <a:lstStyle/>
              <a:p>
                <a:pPr>
                  <a:defRPr sz="900" b="0" i="0" u="none" strike="noStrike" kern="1200" baseline="0">
                    <a:solidFill>
                      <a:sysClr val="windowText" lastClr="000000"/>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Health!$A$57:$A$65</c:f>
              <c:strCache>
                <c:ptCount val="9"/>
                <c:pt idx="0">
                  <c:v>Stroke</c:v>
                </c:pt>
                <c:pt idx="1">
                  <c:v>Type 2 diabetes</c:v>
                </c:pt>
                <c:pt idx="2">
                  <c:v>Osteoporosis</c:v>
                </c:pt>
                <c:pt idx="3">
                  <c:v>Heart disease</c:v>
                </c:pt>
                <c:pt idx="4">
                  <c:v>Cancer</c:v>
                </c:pt>
                <c:pt idx="5">
                  <c:v>Arthritis</c:v>
                </c:pt>
                <c:pt idx="6">
                  <c:v>Asthma ever diagnosed</c:v>
                </c:pt>
                <c:pt idx="7">
                  <c:v>Two or more chronic diseases</c:v>
                </c:pt>
                <c:pt idx="8">
                  <c:v>Anxiety or depression</c:v>
                </c:pt>
              </c:strCache>
            </c:strRef>
          </c:cat>
          <c:val>
            <c:numRef>
              <c:f>Health!$G$57:$G$65</c:f>
              <c:numCache>
                <c:formatCode>0.0%</c:formatCode>
                <c:ptCount val="9"/>
                <c:pt idx="0">
                  <c:v>2.3599999999999999E-2</c:v>
                </c:pt>
                <c:pt idx="1">
                  <c:v>5.5E-2</c:v>
                </c:pt>
                <c:pt idx="2">
                  <c:v>5.7000000000000002E-2</c:v>
                </c:pt>
                <c:pt idx="3">
                  <c:v>6.7000000000000004E-2</c:v>
                </c:pt>
                <c:pt idx="4">
                  <c:v>8.1000000000000003E-2</c:v>
                </c:pt>
                <c:pt idx="5">
                  <c:v>0.20499999999999999</c:v>
                </c:pt>
                <c:pt idx="6">
                  <c:v>0.2</c:v>
                </c:pt>
                <c:pt idx="7">
                  <c:v>0.255</c:v>
                </c:pt>
                <c:pt idx="8">
                  <c:v>0.27400000000000002</c:v>
                </c:pt>
              </c:numCache>
            </c:numRef>
          </c:val>
          <c:extLst>
            <c:ext xmlns:c16="http://schemas.microsoft.com/office/drawing/2014/chart" uri="{C3380CC4-5D6E-409C-BE32-E72D297353CC}">
              <c16:uniqueId val="{0000000A-9130-454B-8EEA-C609F2A8C195}"/>
            </c:ext>
          </c:extLst>
        </c:ser>
        <c:dLbls>
          <c:dLblPos val="inBase"/>
          <c:showLegendKey val="0"/>
          <c:showVal val="1"/>
          <c:showCatName val="0"/>
          <c:showSerName val="0"/>
          <c:showPercent val="0"/>
          <c:showBubbleSize val="0"/>
        </c:dLbls>
        <c:gapWidth val="25"/>
        <c:axId val="832922216"/>
        <c:axId val="832919920"/>
      </c:barChart>
      <c:catAx>
        <c:axId val="832922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919920"/>
        <c:crosses val="autoZero"/>
        <c:auto val="1"/>
        <c:lblAlgn val="ctr"/>
        <c:lblOffset val="100"/>
        <c:noMultiLvlLbl val="0"/>
      </c:catAx>
      <c:valAx>
        <c:axId val="832919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92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840157966582789"/>
          <c:y val="0.11510833997391173"/>
          <c:w val="0.56810247367237177"/>
          <c:h val="0.68766171515255037"/>
        </c:manualLayout>
      </c:layout>
      <c:barChart>
        <c:barDir val="bar"/>
        <c:grouping val="clustered"/>
        <c:varyColors val="0"/>
        <c:ser>
          <c:idx val="0"/>
          <c:order val="0"/>
          <c:tx>
            <c:strRef>
              <c:f>Health!$E$77</c:f>
              <c:strCache>
                <c:ptCount val="1"/>
                <c:pt idx="0">
                  <c:v>Western Melbourne Area</c:v>
                </c:pt>
              </c:strCache>
            </c:strRef>
          </c:tx>
          <c:spPr>
            <a:solidFill>
              <a:srgbClr val="6A44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Health!$D$79:$D$84</c:f>
              <c:strCache>
                <c:ptCount val="6"/>
                <c:pt idx="0">
                  <c:v>Had mammogram to detect cancer, last 2 years</c:v>
                </c:pt>
                <c:pt idx="1">
                  <c:v>Had faecal occult blood test, 50 years of age</c:v>
                </c:pt>
                <c:pt idx="2">
                  <c:v>Had bowel exam to detect cancer, last 5 years</c:v>
                </c:pt>
                <c:pt idx="3">
                  <c:v>Had blood pressure test in the last 2 years</c:v>
                </c:pt>
                <c:pt idx="4">
                  <c:v>Had blood lipids test in the last 2 years</c:v>
                </c:pt>
                <c:pt idx="5">
                  <c:v>Had blood glucose test in the last 2 years</c:v>
                </c:pt>
              </c:strCache>
            </c:strRef>
          </c:cat>
          <c:val>
            <c:numRef>
              <c:f>Health!$E$79:$E$84</c:f>
              <c:numCache>
                <c:formatCode>0.0%</c:formatCode>
                <c:ptCount val="6"/>
                <c:pt idx="0">
                  <c:v>0.83499999999999996</c:v>
                </c:pt>
                <c:pt idx="1">
                  <c:v>0.55800000000000005</c:v>
                </c:pt>
                <c:pt idx="2">
                  <c:v>0.439</c:v>
                </c:pt>
                <c:pt idx="3">
                  <c:v>0.76500000000000001</c:v>
                </c:pt>
                <c:pt idx="4">
                  <c:v>0.55100000000000005</c:v>
                </c:pt>
                <c:pt idx="5">
                  <c:v>0.48399999999999999</c:v>
                </c:pt>
              </c:numCache>
            </c:numRef>
          </c:val>
          <c:extLst>
            <c:ext xmlns:c16="http://schemas.microsoft.com/office/drawing/2014/chart" uri="{C3380CC4-5D6E-409C-BE32-E72D297353CC}">
              <c16:uniqueId val="{00000000-BDEA-424C-9E99-27A94D52E440}"/>
            </c:ext>
          </c:extLst>
        </c:ser>
        <c:ser>
          <c:idx val="1"/>
          <c:order val="1"/>
          <c:tx>
            <c:strRef>
              <c:f>Health!$H$77</c:f>
              <c:strCache>
                <c:ptCount val="1"/>
                <c:pt idx="0">
                  <c:v>Victoria</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Health!$D$79:$D$84</c:f>
              <c:strCache>
                <c:ptCount val="6"/>
                <c:pt idx="0">
                  <c:v>Had mammogram to detect cancer, last 2 years</c:v>
                </c:pt>
                <c:pt idx="1">
                  <c:v>Had faecal occult blood test, 50 years of age</c:v>
                </c:pt>
                <c:pt idx="2">
                  <c:v>Had bowel exam to detect cancer, last 5 years</c:v>
                </c:pt>
                <c:pt idx="3">
                  <c:v>Had blood pressure test in the last 2 years</c:v>
                </c:pt>
                <c:pt idx="4">
                  <c:v>Had blood lipids test in the last 2 years</c:v>
                </c:pt>
                <c:pt idx="5">
                  <c:v>Had blood glucose test in the last 2 years</c:v>
                </c:pt>
              </c:strCache>
            </c:strRef>
          </c:cat>
          <c:val>
            <c:numRef>
              <c:f>Health!$H$79:$H$84</c:f>
              <c:numCache>
                <c:formatCode>0.0%</c:formatCode>
                <c:ptCount val="6"/>
                <c:pt idx="0">
                  <c:v>0.79200000000000004</c:v>
                </c:pt>
                <c:pt idx="1">
                  <c:v>0.60099999999999998</c:v>
                </c:pt>
                <c:pt idx="2">
                  <c:v>0.46800000000000003</c:v>
                </c:pt>
                <c:pt idx="3">
                  <c:v>0.79600000000000004</c:v>
                </c:pt>
                <c:pt idx="4">
                  <c:v>0.56799999999999995</c:v>
                </c:pt>
                <c:pt idx="5">
                  <c:v>0.50700000000000001</c:v>
                </c:pt>
              </c:numCache>
            </c:numRef>
          </c:val>
          <c:extLst>
            <c:ext xmlns:c16="http://schemas.microsoft.com/office/drawing/2014/chart" uri="{C3380CC4-5D6E-409C-BE32-E72D297353CC}">
              <c16:uniqueId val="{00000001-BDEA-424C-9E99-27A94D52E440}"/>
            </c:ext>
          </c:extLst>
        </c:ser>
        <c:ser>
          <c:idx val="2"/>
          <c:order val="2"/>
          <c:tx>
            <c:strRef>
              <c:f>Health!$K$77</c:f>
              <c:strCache>
                <c:ptCount val="1"/>
                <c:pt idx="0">
                  <c:v>Moonee Valley</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Health!$D$79:$D$84</c:f>
              <c:strCache>
                <c:ptCount val="6"/>
                <c:pt idx="0">
                  <c:v>Had mammogram to detect cancer, last 2 years</c:v>
                </c:pt>
                <c:pt idx="1">
                  <c:v>Had faecal occult blood test, 50 years of age</c:v>
                </c:pt>
                <c:pt idx="2">
                  <c:v>Had bowel exam to detect cancer, last 5 years</c:v>
                </c:pt>
                <c:pt idx="3">
                  <c:v>Had blood pressure test in the last 2 years</c:v>
                </c:pt>
                <c:pt idx="4">
                  <c:v>Had blood lipids test in the last 2 years</c:v>
                </c:pt>
                <c:pt idx="5">
                  <c:v>Had blood glucose test in the last 2 years</c:v>
                </c:pt>
              </c:strCache>
            </c:strRef>
          </c:cat>
          <c:val>
            <c:numRef>
              <c:f>Health!$K$79:$K$84</c:f>
              <c:numCache>
                <c:formatCode>0.0%</c:formatCode>
                <c:ptCount val="6"/>
                <c:pt idx="0">
                  <c:v>0.83499999999999996</c:v>
                </c:pt>
                <c:pt idx="1">
                  <c:v>0.61199999999999999</c:v>
                </c:pt>
                <c:pt idx="2">
                  <c:v>0.41199999999999998</c:v>
                </c:pt>
                <c:pt idx="3">
                  <c:v>0.78200000000000003</c:v>
                </c:pt>
                <c:pt idx="4">
                  <c:v>0.55600000000000005</c:v>
                </c:pt>
                <c:pt idx="5">
                  <c:v>0.47599999999999998</c:v>
                </c:pt>
              </c:numCache>
            </c:numRef>
          </c:val>
          <c:extLst>
            <c:ext xmlns:c16="http://schemas.microsoft.com/office/drawing/2014/chart" uri="{C3380CC4-5D6E-409C-BE32-E72D297353CC}">
              <c16:uniqueId val="{00000002-BDEA-424C-9E99-27A94D52E440}"/>
            </c:ext>
          </c:extLst>
        </c:ser>
        <c:dLbls>
          <c:dLblPos val="inBase"/>
          <c:showLegendKey val="0"/>
          <c:showVal val="1"/>
          <c:showCatName val="0"/>
          <c:showSerName val="0"/>
          <c:showPercent val="0"/>
          <c:showBubbleSize val="0"/>
        </c:dLbls>
        <c:gapWidth val="25"/>
        <c:axId val="371259688"/>
        <c:axId val="371260672"/>
      </c:barChart>
      <c:catAx>
        <c:axId val="371259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260672"/>
        <c:crosses val="autoZero"/>
        <c:auto val="1"/>
        <c:lblAlgn val="ctr"/>
        <c:lblOffset val="100"/>
        <c:noMultiLvlLbl val="0"/>
      </c:catAx>
      <c:valAx>
        <c:axId val="371260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a:t>
                </a:r>
                <a:r>
                  <a:rPr lang="en-AU" baseline="0"/>
                  <a:t> population </a:t>
                </a:r>
                <a:endParaRPr lang="en-AU"/>
              </a:p>
            </c:rich>
          </c:tx>
          <c:layout>
            <c:manualLayout>
              <c:xMode val="edge"/>
              <c:yMode val="edge"/>
              <c:x val="0.49782845555152738"/>
              <c:y val="0.875402395864008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25968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Health!$A$162</c:f>
              <c:strCache>
                <c:ptCount val="1"/>
                <c:pt idx="0">
                  <c:v>Obesity levels</c:v>
                </c:pt>
              </c:strCache>
            </c:strRef>
          </c:tx>
          <c:spPr>
            <a:solidFill>
              <a:schemeClr val="accent1"/>
            </a:solidFill>
            <a:ln>
              <a:noFill/>
            </a:ln>
            <a:effectLst/>
          </c:spPr>
          <c:invertIfNegative val="0"/>
          <c:dPt>
            <c:idx val="0"/>
            <c:invertIfNegative val="0"/>
            <c:bubble3D val="0"/>
            <c:spPr>
              <a:solidFill>
                <a:srgbClr val="6A4479"/>
              </a:solidFill>
              <a:ln>
                <a:noFill/>
              </a:ln>
              <a:effectLst/>
            </c:spPr>
            <c:extLst>
              <c:ext xmlns:c16="http://schemas.microsoft.com/office/drawing/2014/chart" uri="{C3380CC4-5D6E-409C-BE32-E72D297353CC}">
                <c16:uniqueId val="{00000001-3774-4C51-B418-C17AC412941C}"/>
              </c:ext>
            </c:extLst>
          </c:dPt>
          <c:dPt>
            <c:idx val="1"/>
            <c:invertIfNegative val="0"/>
            <c:bubble3D val="0"/>
            <c:spPr>
              <a:solidFill>
                <a:srgbClr val="31788F"/>
              </a:solidFill>
              <a:ln>
                <a:noFill/>
              </a:ln>
              <a:effectLst/>
            </c:spPr>
            <c:extLst>
              <c:ext xmlns:c16="http://schemas.microsoft.com/office/drawing/2014/chart" uri="{C3380CC4-5D6E-409C-BE32-E72D297353CC}">
                <c16:uniqueId val="{00000003-3774-4C51-B418-C17AC412941C}"/>
              </c:ext>
            </c:extLst>
          </c:dPt>
          <c:dPt>
            <c:idx val="2"/>
            <c:invertIfNegative val="0"/>
            <c:bubble3D val="0"/>
            <c:spPr>
              <a:solidFill>
                <a:srgbClr val="E55048"/>
              </a:solidFill>
              <a:ln>
                <a:noFill/>
              </a:ln>
              <a:effectLst/>
            </c:spPr>
            <c:extLst>
              <c:ext xmlns:c16="http://schemas.microsoft.com/office/drawing/2014/chart" uri="{C3380CC4-5D6E-409C-BE32-E72D297353CC}">
                <c16:uniqueId val="{00000005-3774-4C51-B418-C17AC41294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Health!$A$166:$A$168</c:f>
              <c:strCache>
                <c:ptCount val="3"/>
                <c:pt idx="0">
                  <c:v>Western Melbourne Area</c:v>
                </c:pt>
                <c:pt idx="1">
                  <c:v>Victoria</c:v>
                </c:pt>
                <c:pt idx="2">
                  <c:v>Moonee Valley</c:v>
                </c:pt>
              </c:strCache>
            </c:strRef>
          </c:cat>
          <c:val>
            <c:numRef>
              <c:f>Health!$B$166:$B$168</c:f>
              <c:numCache>
                <c:formatCode>0.0%</c:formatCode>
                <c:ptCount val="3"/>
                <c:pt idx="0">
                  <c:v>0.47899999999999998</c:v>
                </c:pt>
                <c:pt idx="1">
                  <c:v>0.50800000000000001</c:v>
                </c:pt>
                <c:pt idx="2">
                  <c:v>0.47599999999999998</c:v>
                </c:pt>
              </c:numCache>
            </c:numRef>
          </c:val>
          <c:extLst>
            <c:ext xmlns:c16="http://schemas.microsoft.com/office/drawing/2014/chart" uri="{C3380CC4-5D6E-409C-BE32-E72D297353CC}">
              <c16:uniqueId val="{00000006-3774-4C51-B418-C17AC412941C}"/>
            </c:ext>
          </c:extLst>
        </c:ser>
        <c:dLbls>
          <c:showLegendKey val="0"/>
          <c:showVal val="0"/>
          <c:showCatName val="0"/>
          <c:showSerName val="0"/>
          <c:showPercent val="0"/>
          <c:showBubbleSize val="0"/>
        </c:dLbls>
        <c:gapWidth val="25"/>
        <c:axId val="905592424"/>
        <c:axId val="905584224"/>
      </c:barChart>
      <c:catAx>
        <c:axId val="905592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584224"/>
        <c:crosses val="autoZero"/>
        <c:auto val="1"/>
        <c:lblAlgn val="ctr"/>
        <c:lblOffset val="100"/>
        <c:noMultiLvlLbl val="0"/>
      </c:catAx>
      <c:valAx>
        <c:axId val="90558422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population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592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Sheet2!$A$3</c:f>
              <c:strCache>
                <c:ptCount val="1"/>
                <c:pt idx="0">
                  <c:v>Male</c:v>
                </c:pt>
              </c:strCache>
            </c:strRef>
          </c:tx>
          <c:spPr>
            <a:solidFill>
              <a:schemeClr val="accent1"/>
            </a:solidFill>
            <a:ln>
              <a:noFill/>
            </a:ln>
            <a:effectLst/>
          </c:spPr>
          <c:invertIfNegative val="0"/>
          <c:cat>
            <c:strRef>
              <c:f>Sheet2!$B$2:$C$2</c:f>
              <c:strCache>
                <c:ptCount val="2"/>
                <c:pt idx="0">
                  <c:v>Moonee Valley</c:v>
                </c:pt>
                <c:pt idx="1">
                  <c:v>Melbourne</c:v>
                </c:pt>
              </c:strCache>
            </c:strRef>
          </c:cat>
          <c:val>
            <c:numRef>
              <c:f>Sheet2!$B$3:$C$3</c:f>
              <c:numCache>
                <c:formatCode>General</c:formatCode>
                <c:ptCount val="2"/>
                <c:pt idx="0">
                  <c:v>5.7</c:v>
                </c:pt>
                <c:pt idx="1">
                  <c:v>7.2</c:v>
                </c:pt>
              </c:numCache>
            </c:numRef>
          </c:val>
          <c:extLst>
            <c:ext xmlns:c16="http://schemas.microsoft.com/office/drawing/2014/chart" uri="{C3380CC4-5D6E-409C-BE32-E72D297353CC}">
              <c16:uniqueId val="{00000000-75BC-4748-BC47-207681896C27}"/>
            </c:ext>
          </c:extLst>
        </c:ser>
        <c:ser>
          <c:idx val="1"/>
          <c:order val="1"/>
          <c:tx>
            <c:strRef>
              <c:f>Sheet2!$A$4</c:f>
              <c:strCache>
                <c:ptCount val="1"/>
                <c:pt idx="0">
                  <c:v>Female</c:v>
                </c:pt>
              </c:strCache>
            </c:strRef>
          </c:tx>
          <c:spPr>
            <a:solidFill>
              <a:schemeClr val="accent2"/>
            </a:solidFill>
            <a:ln>
              <a:noFill/>
            </a:ln>
            <a:effectLst/>
          </c:spPr>
          <c:invertIfNegative val="0"/>
          <c:cat>
            <c:strRef>
              <c:f>Sheet2!$B$2:$C$2</c:f>
              <c:strCache>
                <c:ptCount val="2"/>
                <c:pt idx="0">
                  <c:v>Moonee Valley</c:v>
                </c:pt>
                <c:pt idx="1">
                  <c:v>Melbourne</c:v>
                </c:pt>
              </c:strCache>
            </c:strRef>
          </c:cat>
          <c:val>
            <c:numRef>
              <c:f>Sheet2!$B$4:$C$4</c:f>
              <c:numCache>
                <c:formatCode>General</c:formatCode>
                <c:ptCount val="2"/>
                <c:pt idx="0">
                  <c:v>5.6</c:v>
                </c:pt>
                <c:pt idx="1">
                  <c:v>7.1</c:v>
                </c:pt>
              </c:numCache>
            </c:numRef>
          </c:val>
          <c:extLst>
            <c:ext xmlns:c16="http://schemas.microsoft.com/office/drawing/2014/chart" uri="{C3380CC4-5D6E-409C-BE32-E72D297353CC}">
              <c16:uniqueId val="{00000001-75BC-4748-BC47-207681896C27}"/>
            </c:ext>
          </c:extLst>
        </c:ser>
        <c:dLbls>
          <c:showLegendKey val="0"/>
          <c:showVal val="0"/>
          <c:showCatName val="0"/>
          <c:showSerName val="0"/>
          <c:showPercent val="0"/>
          <c:showBubbleSize val="0"/>
        </c:dLbls>
        <c:gapWidth val="219"/>
        <c:overlap val="-27"/>
        <c:axId val="489659672"/>
        <c:axId val="489663608"/>
      </c:barChart>
      <c:catAx>
        <c:axId val="489659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Sex</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663608"/>
        <c:crosses val="autoZero"/>
        <c:auto val="1"/>
        <c:lblAlgn val="ctr"/>
        <c:lblOffset val="100"/>
        <c:noMultiLvlLbl val="0"/>
      </c:catAx>
      <c:valAx>
        <c:axId val="489663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 per 100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65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Male: 2041</c:v>
          </c:tx>
          <c:spPr>
            <a:solidFill>
              <a:srgbClr val="31788F">
                <a:alpha val="50196"/>
              </a:srgbClr>
            </a:solidFill>
            <a:ln>
              <a:solidFill>
                <a:srgbClr val="31788F"/>
              </a:solidFill>
            </a:ln>
            <a:effectLst/>
          </c:spPr>
          <c:invertIfNegative val="0"/>
          <c:cat>
            <c:strRef>
              <c:f>'20 year compare'!$A$21:$A$40</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c:v>
                </c:pt>
              </c:strCache>
            </c:strRef>
          </c:cat>
          <c:val>
            <c:numRef>
              <c:f>'20 year compare'!$E$21:$E$40</c:f>
              <c:numCache>
                <c:formatCode>#,##0</c:formatCode>
                <c:ptCount val="20"/>
                <c:pt idx="0">
                  <c:v>4163</c:v>
                </c:pt>
                <c:pt idx="1">
                  <c:v>4168</c:v>
                </c:pt>
                <c:pt idx="2">
                  <c:v>4299</c:v>
                </c:pt>
                <c:pt idx="3">
                  <c:v>4864</c:v>
                </c:pt>
                <c:pt idx="4">
                  <c:v>5774</c:v>
                </c:pt>
                <c:pt idx="5">
                  <c:v>6357</c:v>
                </c:pt>
                <c:pt idx="6">
                  <c:v>6340</c:v>
                </c:pt>
                <c:pt idx="7">
                  <c:v>5966</c:v>
                </c:pt>
                <c:pt idx="8">
                  <c:v>5577</c:v>
                </c:pt>
                <c:pt idx="9">
                  <c:v>5266</c:v>
                </c:pt>
                <c:pt idx="10">
                  <c:v>4961</c:v>
                </c:pt>
                <c:pt idx="11">
                  <c:v>4566</c:v>
                </c:pt>
                <c:pt idx="12">
                  <c:v>4197</c:v>
                </c:pt>
                <c:pt idx="13">
                  <c:v>3860</c:v>
                </c:pt>
                <c:pt idx="14">
                  <c:v>3483</c:v>
                </c:pt>
                <c:pt idx="15">
                  <c:v>2972</c:v>
                </c:pt>
                <c:pt idx="16">
                  <c:v>2322</c:v>
                </c:pt>
                <c:pt idx="17">
                  <c:v>1622</c:v>
                </c:pt>
                <c:pt idx="18">
                  <c:v>957</c:v>
                </c:pt>
                <c:pt idx="19">
                  <c:v>575</c:v>
                </c:pt>
              </c:numCache>
            </c:numRef>
          </c:val>
          <c:extLst>
            <c:ext xmlns:c16="http://schemas.microsoft.com/office/drawing/2014/chart" uri="{C3380CC4-5D6E-409C-BE32-E72D297353CC}">
              <c16:uniqueId val="{00000000-3570-4DAE-A62E-4A81701A36A4}"/>
            </c:ext>
          </c:extLst>
        </c:ser>
        <c:ser>
          <c:idx val="1"/>
          <c:order val="1"/>
          <c:tx>
            <c:v>Female: 2041</c:v>
          </c:tx>
          <c:spPr>
            <a:solidFill>
              <a:srgbClr val="E55048">
                <a:alpha val="50196"/>
              </a:srgbClr>
            </a:solidFill>
            <a:ln>
              <a:solidFill>
                <a:srgbClr val="E55048"/>
              </a:solidFill>
            </a:ln>
            <a:effectLst/>
          </c:spPr>
          <c:invertIfNegative val="0"/>
          <c:val>
            <c:numRef>
              <c:f>'20 year compare'!$G$21:$G$40</c:f>
              <c:numCache>
                <c:formatCode>General</c:formatCode>
                <c:ptCount val="20"/>
                <c:pt idx="0">
                  <c:v>-3996</c:v>
                </c:pt>
                <c:pt idx="1">
                  <c:v>-3975</c:v>
                </c:pt>
                <c:pt idx="2">
                  <c:v>-4153</c:v>
                </c:pt>
                <c:pt idx="3">
                  <c:v>-4787</c:v>
                </c:pt>
                <c:pt idx="4">
                  <c:v>-5696</c:v>
                </c:pt>
                <c:pt idx="5">
                  <c:v>-6230</c:v>
                </c:pt>
                <c:pt idx="6">
                  <c:v>-6221</c:v>
                </c:pt>
                <c:pt idx="7">
                  <c:v>-6023</c:v>
                </c:pt>
                <c:pt idx="8">
                  <c:v>-5765</c:v>
                </c:pt>
                <c:pt idx="9">
                  <c:v>-5512</c:v>
                </c:pt>
                <c:pt idx="10">
                  <c:v>-5179</c:v>
                </c:pt>
                <c:pt idx="11">
                  <c:v>-4760</c:v>
                </c:pt>
                <c:pt idx="12">
                  <c:v>-4298</c:v>
                </c:pt>
                <c:pt idx="13">
                  <c:v>-3962</c:v>
                </c:pt>
                <c:pt idx="14">
                  <c:v>-3631</c:v>
                </c:pt>
                <c:pt idx="15">
                  <c:v>-3191</c:v>
                </c:pt>
                <c:pt idx="16">
                  <c:v>-2660</c:v>
                </c:pt>
                <c:pt idx="17">
                  <c:v>-1970</c:v>
                </c:pt>
                <c:pt idx="18">
                  <c:v>-1185</c:v>
                </c:pt>
                <c:pt idx="19">
                  <c:v>-660</c:v>
                </c:pt>
              </c:numCache>
            </c:numRef>
          </c:val>
          <c:extLst>
            <c:ext xmlns:c16="http://schemas.microsoft.com/office/drawing/2014/chart" uri="{C3380CC4-5D6E-409C-BE32-E72D297353CC}">
              <c16:uniqueId val="{00000001-3570-4DAE-A62E-4A81701A36A4}"/>
            </c:ext>
          </c:extLst>
        </c:ser>
        <c:ser>
          <c:idx val="2"/>
          <c:order val="2"/>
          <c:tx>
            <c:v>Male: 2021</c:v>
          </c:tx>
          <c:spPr>
            <a:solidFill>
              <a:srgbClr val="31788F"/>
            </a:solidFill>
            <a:ln>
              <a:noFill/>
            </a:ln>
            <a:effectLst/>
          </c:spPr>
          <c:invertIfNegative val="0"/>
          <c:val>
            <c:numRef>
              <c:f>'20 year compare'!$B$21:$B$40</c:f>
              <c:numCache>
                <c:formatCode>#,##0</c:formatCode>
                <c:ptCount val="20"/>
                <c:pt idx="0">
                  <c:v>3781</c:v>
                </c:pt>
                <c:pt idx="1">
                  <c:v>3590</c:v>
                </c:pt>
                <c:pt idx="2">
                  <c:v>3761</c:v>
                </c:pt>
                <c:pt idx="3">
                  <c:v>3894</c:v>
                </c:pt>
                <c:pt idx="4">
                  <c:v>4649</c:v>
                </c:pt>
                <c:pt idx="5">
                  <c:v>5362</c:v>
                </c:pt>
                <c:pt idx="6">
                  <c:v>5407</c:v>
                </c:pt>
                <c:pt idx="7">
                  <c:v>4956</c:v>
                </c:pt>
                <c:pt idx="8">
                  <c:v>4331</c:v>
                </c:pt>
                <c:pt idx="9">
                  <c:v>4346</c:v>
                </c:pt>
                <c:pt idx="10">
                  <c:v>4121</c:v>
                </c:pt>
                <c:pt idx="11">
                  <c:v>3785</c:v>
                </c:pt>
                <c:pt idx="12">
                  <c:v>3311</c:v>
                </c:pt>
                <c:pt idx="13">
                  <c:v>2770</c:v>
                </c:pt>
                <c:pt idx="14">
                  <c:v>2377</c:v>
                </c:pt>
                <c:pt idx="15">
                  <c:v>1818</c:v>
                </c:pt>
                <c:pt idx="16">
                  <c:v>1382</c:v>
                </c:pt>
                <c:pt idx="17">
                  <c:v>851</c:v>
                </c:pt>
                <c:pt idx="18">
                  <c:v>393</c:v>
                </c:pt>
                <c:pt idx="19">
                  <c:v>220</c:v>
                </c:pt>
              </c:numCache>
            </c:numRef>
          </c:val>
          <c:extLst>
            <c:ext xmlns:c16="http://schemas.microsoft.com/office/drawing/2014/chart" uri="{C3380CC4-5D6E-409C-BE32-E72D297353CC}">
              <c16:uniqueId val="{00000002-3570-4DAE-A62E-4A81701A36A4}"/>
            </c:ext>
          </c:extLst>
        </c:ser>
        <c:ser>
          <c:idx val="3"/>
          <c:order val="3"/>
          <c:tx>
            <c:v>Female: 2021</c:v>
          </c:tx>
          <c:spPr>
            <a:solidFill>
              <a:srgbClr val="E55048"/>
            </a:solidFill>
            <a:ln>
              <a:noFill/>
            </a:ln>
            <a:effectLst/>
          </c:spPr>
          <c:invertIfNegative val="0"/>
          <c:val>
            <c:numRef>
              <c:f>'20 year compare'!$D$21:$D$41</c:f>
              <c:numCache>
                <c:formatCode>General</c:formatCode>
                <c:ptCount val="21"/>
                <c:pt idx="0">
                  <c:v>-3591</c:v>
                </c:pt>
                <c:pt idx="1">
                  <c:v>-3460</c:v>
                </c:pt>
                <c:pt idx="2">
                  <c:v>-3601</c:v>
                </c:pt>
                <c:pt idx="3">
                  <c:v>-3782</c:v>
                </c:pt>
                <c:pt idx="4">
                  <c:v>-4505</c:v>
                </c:pt>
                <c:pt idx="5">
                  <c:v>-5368</c:v>
                </c:pt>
                <c:pt idx="6">
                  <c:v>-5528</c:v>
                </c:pt>
                <c:pt idx="7">
                  <c:v>-5231</c:v>
                </c:pt>
                <c:pt idx="8">
                  <c:v>-4589</c:v>
                </c:pt>
                <c:pt idx="9">
                  <c:v>-4585</c:v>
                </c:pt>
                <c:pt idx="10">
                  <c:v>-4389</c:v>
                </c:pt>
                <c:pt idx="11">
                  <c:v>-3927</c:v>
                </c:pt>
                <c:pt idx="12">
                  <c:v>-3590</c:v>
                </c:pt>
                <c:pt idx="13">
                  <c:v>-3077</c:v>
                </c:pt>
                <c:pt idx="14">
                  <c:v>-2656</c:v>
                </c:pt>
                <c:pt idx="15">
                  <c:v>-2210</c:v>
                </c:pt>
                <c:pt idx="16">
                  <c:v>-1826</c:v>
                </c:pt>
                <c:pt idx="17">
                  <c:v>-1206</c:v>
                </c:pt>
                <c:pt idx="18">
                  <c:v>-623</c:v>
                </c:pt>
                <c:pt idx="19">
                  <c:v>-404</c:v>
                </c:pt>
              </c:numCache>
            </c:numRef>
          </c:val>
          <c:extLst>
            <c:ext xmlns:c16="http://schemas.microsoft.com/office/drawing/2014/chart" uri="{C3380CC4-5D6E-409C-BE32-E72D297353CC}">
              <c16:uniqueId val="{00000003-3570-4DAE-A62E-4A81701A36A4}"/>
            </c:ext>
          </c:extLst>
        </c:ser>
        <c:dLbls>
          <c:showLegendKey val="0"/>
          <c:showVal val="0"/>
          <c:showCatName val="0"/>
          <c:showSerName val="0"/>
          <c:showPercent val="0"/>
          <c:showBubbleSize val="0"/>
        </c:dLbls>
        <c:gapWidth val="20"/>
        <c:overlap val="100"/>
        <c:axId val="761945176"/>
        <c:axId val="761939600"/>
      </c:barChart>
      <c:catAx>
        <c:axId val="76194517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939600"/>
        <c:crosses val="autoZero"/>
        <c:auto val="1"/>
        <c:lblAlgn val="ctr"/>
        <c:lblOffset val="100"/>
        <c:tickLblSkip val="1"/>
        <c:noMultiLvlLbl val="0"/>
      </c:catAx>
      <c:valAx>
        <c:axId val="761939600"/>
        <c:scaling>
          <c:orientation val="minMax"/>
          <c:min val="-8000"/>
        </c:scaling>
        <c:delete val="0"/>
        <c:axPos val="b"/>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94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044164769256"/>
          <c:y val="0.15715290670793841"/>
          <c:w val="0.49129597595105717"/>
          <c:h val="0.62986425835301596"/>
        </c:manualLayout>
      </c:layout>
      <c:barChart>
        <c:barDir val="bar"/>
        <c:grouping val="clustered"/>
        <c:varyColors val="0"/>
        <c:ser>
          <c:idx val="0"/>
          <c:order val="0"/>
          <c:tx>
            <c:strRef>
              <c:f>Health!$B$135</c:f>
              <c:strCache>
                <c:ptCount val="1"/>
                <c:pt idx="0">
                  <c:v>Western Melbourne Area</c:v>
                </c:pt>
              </c:strCache>
            </c:strRef>
          </c:tx>
          <c:spPr>
            <a:solidFill>
              <a:srgbClr val="6A44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Health!$A$137:$A$139</c:f>
              <c:strCache>
                <c:ptCount val="3"/>
                <c:pt idx="0">
                  <c:v>Delayed visiting dental professional because of cost</c:v>
                </c:pt>
                <c:pt idx="1">
                  <c:v>Self-reported gum-disease</c:v>
                </c:pt>
                <c:pt idx="2">
                  <c:v>Self-reported dental health status (Excellent or very good)</c:v>
                </c:pt>
              </c:strCache>
            </c:strRef>
          </c:cat>
          <c:val>
            <c:numRef>
              <c:f>Health!$B$137:$B$139</c:f>
              <c:numCache>
                <c:formatCode>0.0%</c:formatCode>
                <c:ptCount val="3"/>
                <c:pt idx="0">
                  <c:v>0.30980000000000002</c:v>
                </c:pt>
                <c:pt idx="1">
                  <c:v>0.104</c:v>
                </c:pt>
                <c:pt idx="2">
                  <c:v>0.38300000000000001</c:v>
                </c:pt>
              </c:numCache>
            </c:numRef>
          </c:val>
          <c:extLst>
            <c:ext xmlns:c16="http://schemas.microsoft.com/office/drawing/2014/chart" uri="{C3380CC4-5D6E-409C-BE32-E72D297353CC}">
              <c16:uniqueId val="{00000000-3D04-48FC-BC07-76A8114446AB}"/>
            </c:ext>
          </c:extLst>
        </c:ser>
        <c:ser>
          <c:idx val="1"/>
          <c:order val="1"/>
          <c:tx>
            <c:strRef>
              <c:f>Health!$G$135</c:f>
              <c:strCache>
                <c:ptCount val="1"/>
                <c:pt idx="0">
                  <c:v>Victoria</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Health!$A$137:$A$139</c:f>
              <c:strCache>
                <c:ptCount val="3"/>
                <c:pt idx="0">
                  <c:v>Delayed visiting dental professional because of cost</c:v>
                </c:pt>
                <c:pt idx="1">
                  <c:v>Self-reported gum-disease</c:v>
                </c:pt>
                <c:pt idx="2">
                  <c:v>Self-reported dental health status (Excellent or very good)</c:v>
                </c:pt>
              </c:strCache>
            </c:strRef>
          </c:cat>
          <c:val>
            <c:numRef>
              <c:f>Health!$G$137:$G$139</c:f>
              <c:numCache>
                <c:formatCode>0.0%</c:formatCode>
                <c:ptCount val="3"/>
                <c:pt idx="0">
                  <c:v>0.33900000000000002</c:v>
                </c:pt>
                <c:pt idx="1">
                  <c:v>0.108</c:v>
                </c:pt>
                <c:pt idx="2">
                  <c:v>0.372</c:v>
                </c:pt>
              </c:numCache>
            </c:numRef>
          </c:val>
          <c:extLst>
            <c:ext xmlns:c16="http://schemas.microsoft.com/office/drawing/2014/chart" uri="{C3380CC4-5D6E-409C-BE32-E72D297353CC}">
              <c16:uniqueId val="{00000001-3D04-48FC-BC07-76A8114446AB}"/>
            </c:ext>
          </c:extLst>
        </c:ser>
        <c:ser>
          <c:idx val="2"/>
          <c:order val="2"/>
          <c:tx>
            <c:strRef>
              <c:f>Health!$L$135</c:f>
              <c:strCache>
                <c:ptCount val="1"/>
                <c:pt idx="0">
                  <c:v>Moonee Valley</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Health!$A$137:$A$139</c:f>
              <c:strCache>
                <c:ptCount val="3"/>
                <c:pt idx="0">
                  <c:v>Delayed visiting dental professional because of cost</c:v>
                </c:pt>
                <c:pt idx="1">
                  <c:v>Self-reported gum-disease</c:v>
                </c:pt>
                <c:pt idx="2">
                  <c:v>Self-reported dental health status (Excellent or very good)</c:v>
                </c:pt>
              </c:strCache>
            </c:strRef>
          </c:cat>
          <c:val>
            <c:numRef>
              <c:f>Health!$L$137:$L$139</c:f>
              <c:numCache>
                <c:formatCode>0.0%</c:formatCode>
                <c:ptCount val="3"/>
                <c:pt idx="0">
                  <c:v>0.316</c:v>
                </c:pt>
                <c:pt idx="1">
                  <c:v>9.4E-2</c:v>
                </c:pt>
                <c:pt idx="2">
                  <c:v>0.435</c:v>
                </c:pt>
              </c:numCache>
            </c:numRef>
          </c:val>
          <c:extLst>
            <c:ext xmlns:c16="http://schemas.microsoft.com/office/drawing/2014/chart" uri="{C3380CC4-5D6E-409C-BE32-E72D297353CC}">
              <c16:uniqueId val="{00000002-3D04-48FC-BC07-76A8114446AB}"/>
            </c:ext>
          </c:extLst>
        </c:ser>
        <c:dLbls>
          <c:dLblPos val="inBase"/>
          <c:showLegendKey val="0"/>
          <c:showVal val="1"/>
          <c:showCatName val="0"/>
          <c:showSerName val="0"/>
          <c:showPercent val="0"/>
          <c:showBubbleSize val="0"/>
        </c:dLbls>
        <c:gapWidth val="25"/>
        <c:axId val="805627760"/>
        <c:axId val="805632680"/>
      </c:barChart>
      <c:catAx>
        <c:axId val="80562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632680"/>
        <c:crosses val="autoZero"/>
        <c:auto val="1"/>
        <c:lblAlgn val="ctr"/>
        <c:lblOffset val="100"/>
        <c:noMultiLvlLbl val="0"/>
      </c:catAx>
      <c:valAx>
        <c:axId val="805632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62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Health!$A$149</c:f>
              <c:strCache>
                <c:ptCount val="1"/>
                <c:pt idx="0">
                  <c:v>Moonee Valley</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Health!$B$148:$D$148</c:f>
              <c:strCache>
                <c:ptCount val="3"/>
                <c:pt idx="0">
                  <c:v>0 to 5 years</c:v>
                </c:pt>
                <c:pt idx="1">
                  <c:v>6 years</c:v>
                </c:pt>
                <c:pt idx="2">
                  <c:v>12 years</c:v>
                </c:pt>
              </c:strCache>
            </c:strRef>
          </c:cat>
          <c:val>
            <c:numRef>
              <c:f>Health!$B$149:$D$149</c:f>
              <c:numCache>
                <c:formatCode>0%</c:formatCode>
                <c:ptCount val="3"/>
                <c:pt idx="0">
                  <c:v>0.22</c:v>
                </c:pt>
                <c:pt idx="1">
                  <c:v>0.38</c:v>
                </c:pt>
                <c:pt idx="2">
                  <c:v>0.45</c:v>
                </c:pt>
              </c:numCache>
            </c:numRef>
          </c:val>
          <c:extLst>
            <c:ext xmlns:c16="http://schemas.microsoft.com/office/drawing/2014/chart" uri="{C3380CC4-5D6E-409C-BE32-E72D297353CC}">
              <c16:uniqueId val="{00000000-0FAA-41F3-A9F1-F33D29735EF0}"/>
            </c:ext>
          </c:extLst>
        </c:ser>
        <c:ser>
          <c:idx val="1"/>
          <c:order val="1"/>
          <c:tx>
            <c:strRef>
              <c:f>Health!$A$150</c:f>
              <c:strCache>
                <c:ptCount val="1"/>
                <c:pt idx="0">
                  <c:v>Victoria</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Health!$B$148:$D$148</c:f>
              <c:strCache>
                <c:ptCount val="3"/>
                <c:pt idx="0">
                  <c:v>0 to 5 years</c:v>
                </c:pt>
                <c:pt idx="1">
                  <c:v>6 years</c:v>
                </c:pt>
                <c:pt idx="2">
                  <c:v>12 years</c:v>
                </c:pt>
              </c:strCache>
            </c:strRef>
          </c:cat>
          <c:val>
            <c:numRef>
              <c:f>Health!$B$150:$D$150</c:f>
              <c:numCache>
                <c:formatCode>0%</c:formatCode>
                <c:ptCount val="3"/>
                <c:pt idx="0">
                  <c:v>0.26</c:v>
                </c:pt>
                <c:pt idx="1">
                  <c:v>0.51</c:v>
                </c:pt>
                <c:pt idx="2">
                  <c:v>0.59</c:v>
                </c:pt>
              </c:numCache>
            </c:numRef>
          </c:val>
          <c:extLst>
            <c:ext xmlns:c16="http://schemas.microsoft.com/office/drawing/2014/chart" uri="{C3380CC4-5D6E-409C-BE32-E72D297353CC}">
              <c16:uniqueId val="{00000001-0FAA-41F3-A9F1-F33D29735EF0}"/>
            </c:ext>
          </c:extLst>
        </c:ser>
        <c:dLbls>
          <c:dLblPos val="inBase"/>
          <c:showLegendKey val="0"/>
          <c:showVal val="1"/>
          <c:showCatName val="0"/>
          <c:showSerName val="0"/>
          <c:showPercent val="0"/>
          <c:showBubbleSize val="0"/>
        </c:dLbls>
        <c:gapWidth val="25"/>
        <c:axId val="853361680"/>
        <c:axId val="853360368"/>
      </c:barChart>
      <c:catAx>
        <c:axId val="8533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360368"/>
        <c:crosses val="autoZero"/>
        <c:auto val="1"/>
        <c:lblAlgn val="ctr"/>
        <c:lblOffset val="100"/>
        <c:noMultiLvlLbl val="0"/>
      </c:catAx>
      <c:valAx>
        <c:axId val="85336036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3616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'Mental Health'!$B$3:$F$3</c:f>
              <c:strCache>
                <c:ptCount val="1"/>
                <c:pt idx="0">
                  <c:v>Low or medium (0-6)</c:v>
                </c:pt>
              </c:strCache>
            </c:strRef>
          </c:tx>
          <c:spPr>
            <a:solidFill>
              <a:srgbClr val="6A44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'Mental Health'!$A$5:$A$6</c:f>
              <c:strCache>
                <c:ptCount val="2"/>
                <c:pt idx="0">
                  <c:v>Feeling of life being worthwhile</c:v>
                </c:pt>
                <c:pt idx="1">
                  <c:v>Life satisfaction</c:v>
                </c:pt>
              </c:strCache>
            </c:strRef>
          </c:cat>
          <c:val>
            <c:numRef>
              <c:f>'Mental Health'!$B$5:$B$6</c:f>
              <c:numCache>
                <c:formatCode>0.0%</c:formatCode>
                <c:ptCount val="2"/>
                <c:pt idx="0">
                  <c:v>0.19083610000000001</c:v>
                </c:pt>
                <c:pt idx="1">
                  <c:v>0.19923859999999999</c:v>
                </c:pt>
              </c:numCache>
            </c:numRef>
          </c:val>
          <c:extLst>
            <c:ext xmlns:c16="http://schemas.microsoft.com/office/drawing/2014/chart" uri="{C3380CC4-5D6E-409C-BE32-E72D297353CC}">
              <c16:uniqueId val="{00000000-053F-4AD7-B577-89B1E1A7749F}"/>
            </c:ext>
          </c:extLst>
        </c:ser>
        <c:ser>
          <c:idx val="1"/>
          <c:order val="1"/>
          <c:tx>
            <c:strRef>
              <c:f>'Mental Health'!$G$3:$K$3</c:f>
              <c:strCache>
                <c:ptCount val="1"/>
                <c:pt idx="0">
                  <c:v>High (7-8)</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'Mental Health'!$A$5:$A$6</c:f>
              <c:strCache>
                <c:ptCount val="2"/>
                <c:pt idx="0">
                  <c:v>Feeling of life being worthwhile</c:v>
                </c:pt>
                <c:pt idx="1">
                  <c:v>Life satisfaction</c:v>
                </c:pt>
              </c:strCache>
            </c:strRef>
          </c:cat>
          <c:val>
            <c:numRef>
              <c:f>'Mental Health'!$G$5:$G$6</c:f>
              <c:numCache>
                <c:formatCode>0.0%</c:formatCode>
                <c:ptCount val="2"/>
                <c:pt idx="0">
                  <c:v>0.48690489999999997</c:v>
                </c:pt>
                <c:pt idx="1">
                  <c:v>0.49933870000000002</c:v>
                </c:pt>
              </c:numCache>
            </c:numRef>
          </c:val>
          <c:extLst>
            <c:ext xmlns:c16="http://schemas.microsoft.com/office/drawing/2014/chart" uri="{C3380CC4-5D6E-409C-BE32-E72D297353CC}">
              <c16:uniqueId val="{00000001-053F-4AD7-B577-89B1E1A7749F}"/>
            </c:ext>
          </c:extLst>
        </c:ser>
        <c:ser>
          <c:idx val="2"/>
          <c:order val="2"/>
          <c:tx>
            <c:strRef>
              <c:f>'Mental Health'!$L$3:$P$3</c:f>
              <c:strCache>
                <c:ptCount val="1"/>
                <c:pt idx="0">
                  <c:v>Very high (9-10)</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'Mental Health'!$A$5:$A$6</c:f>
              <c:strCache>
                <c:ptCount val="2"/>
                <c:pt idx="0">
                  <c:v>Feeling of life being worthwhile</c:v>
                </c:pt>
                <c:pt idx="1">
                  <c:v>Life satisfaction</c:v>
                </c:pt>
              </c:strCache>
            </c:strRef>
          </c:cat>
          <c:val>
            <c:numRef>
              <c:f>'Mental Health'!$L$5:$L$6</c:f>
              <c:numCache>
                <c:formatCode>0.0%</c:formatCode>
                <c:ptCount val="2"/>
                <c:pt idx="0">
                  <c:v>0.30163079999999998</c:v>
                </c:pt>
                <c:pt idx="1">
                  <c:v>0.27898620000000002</c:v>
                </c:pt>
              </c:numCache>
            </c:numRef>
          </c:val>
          <c:extLst>
            <c:ext xmlns:c16="http://schemas.microsoft.com/office/drawing/2014/chart" uri="{C3380CC4-5D6E-409C-BE32-E72D297353CC}">
              <c16:uniqueId val="{00000002-053F-4AD7-B577-89B1E1A7749F}"/>
            </c:ext>
          </c:extLst>
        </c:ser>
        <c:dLbls>
          <c:dLblPos val="inBase"/>
          <c:showLegendKey val="0"/>
          <c:showVal val="1"/>
          <c:showCatName val="0"/>
          <c:showSerName val="0"/>
          <c:showPercent val="0"/>
          <c:showBubbleSize val="0"/>
        </c:dLbls>
        <c:gapWidth val="25"/>
        <c:axId val="1077777656"/>
        <c:axId val="1077777984"/>
      </c:barChart>
      <c:catAx>
        <c:axId val="1077777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777984"/>
        <c:crosses val="autoZero"/>
        <c:auto val="1"/>
        <c:lblAlgn val="ctr"/>
        <c:lblOffset val="100"/>
        <c:noMultiLvlLbl val="0"/>
      </c:catAx>
      <c:valAx>
        <c:axId val="1077777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777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6A4479"/>
              </a:solidFill>
              <a:ln>
                <a:noFill/>
              </a:ln>
              <a:effectLst/>
            </c:spPr>
            <c:extLst>
              <c:ext xmlns:c16="http://schemas.microsoft.com/office/drawing/2014/chart" uri="{C3380CC4-5D6E-409C-BE32-E72D297353CC}">
                <c16:uniqueId val="{00000001-77CE-4BB6-8732-A15ADD2D49D6}"/>
              </c:ext>
            </c:extLst>
          </c:dPt>
          <c:dPt>
            <c:idx val="1"/>
            <c:invertIfNegative val="0"/>
            <c:bubble3D val="0"/>
            <c:spPr>
              <a:solidFill>
                <a:srgbClr val="31788F"/>
              </a:solidFill>
              <a:ln>
                <a:noFill/>
              </a:ln>
              <a:effectLst/>
            </c:spPr>
            <c:extLst>
              <c:ext xmlns:c16="http://schemas.microsoft.com/office/drawing/2014/chart" uri="{C3380CC4-5D6E-409C-BE32-E72D297353CC}">
                <c16:uniqueId val="{00000003-77CE-4BB6-8732-A15ADD2D49D6}"/>
              </c:ext>
            </c:extLst>
          </c:dPt>
          <c:dPt>
            <c:idx val="2"/>
            <c:invertIfNegative val="0"/>
            <c:bubble3D val="0"/>
            <c:spPr>
              <a:solidFill>
                <a:srgbClr val="E55048"/>
              </a:solidFill>
              <a:ln>
                <a:noFill/>
              </a:ln>
              <a:effectLst/>
            </c:spPr>
            <c:extLst>
              <c:ext xmlns:c16="http://schemas.microsoft.com/office/drawing/2014/chart" uri="{C3380CC4-5D6E-409C-BE32-E72D297353CC}">
                <c16:uniqueId val="{00000005-77CE-4BB6-8732-A15ADD2D49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'Mental Health'!$A$14:$A$16</c:f>
              <c:strCache>
                <c:ptCount val="3"/>
                <c:pt idx="0">
                  <c:v>Western Melbourne Area</c:v>
                </c:pt>
                <c:pt idx="1">
                  <c:v>Victoria</c:v>
                </c:pt>
                <c:pt idx="2">
                  <c:v>Moonee Valley</c:v>
                </c:pt>
              </c:strCache>
            </c:strRef>
          </c:cat>
          <c:val>
            <c:numRef>
              <c:f>'Mental Health'!$B$14:$B$16</c:f>
              <c:numCache>
                <c:formatCode>0.0%</c:formatCode>
                <c:ptCount val="3"/>
                <c:pt idx="0">
                  <c:v>0.25019999999999998</c:v>
                </c:pt>
                <c:pt idx="1">
                  <c:v>0.27360000000000001</c:v>
                </c:pt>
                <c:pt idx="2">
                  <c:v>0.30380000000000001</c:v>
                </c:pt>
              </c:numCache>
            </c:numRef>
          </c:val>
          <c:extLst>
            <c:ext xmlns:c16="http://schemas.microsoft.com/office/drawing/2014/chart" uri="{C3380CC4-5D6E-409C-BE32-E72D297353CC}">
              <c16:uniqueId val="{00000006-77CE-4BB6-8732-A15ADD2D49D6}"/>
            </c:ext>
          </c:extLst>
        </c:ser>
        <c:dLbls>
          <c:dLblPos val="inBase"/>
          <c:showLegendKey val="0"/>
          <c:showVal val="1"/>
          <c:showCatName val="0"/>
          <c:showSerName val="0"/>
          <c:showPercent val="0"/>
          <c:showBubbleSize val="0"/>
        </c:dLbls>
        <c:gapWidth val="25"/>
        <c:axId val="839981520"/>
        <c:axId val="839982176"/>
      </c:barChart>
      <c:catAx>
        <c:axId val="83998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982176"/>
        <c:crosses val="autoZero"/>
        <c:auto val="1"/>
        <c:lblAlgn val="ctr"/>
        <c:lblOffset val="100"/>
        <c:noMultiLvlLbl val="0"/>
      </c:catAx>
      <c:valAx>
        <c:axId val="839982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981520"/>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622200349956256"/>
          <c:y val="0.25083333333333335"/>
          <c:w val="0.47161832895888012"/>
          <c:h val="0.57195173519976672"/>
        </c:manualLayout>
      </c:layout>
      <c:barChart>
        <c:barDir val="bar"/>
        <c:grouping val="clustered"/>
        <c:varyColors val="0"/>
        <c:ser>
          <c:idx val="0"/>
          <c:order val="0"/>
          <c:tx>
            <c:strRef>
              <c:f>'Mental Health'!$B$27:$F$27</c:f>
              <c:strCache>
                <c:ptCount val="1"/>
                <c:pt idx="0">
                  <c:v>Female</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'Mental Health'!$A$29:$A$31</c:f>
              <c:strCache>
                <c:ptCount val="3"/>
                <c:pt idx="0">
                  <c:v>Adults who sought professional help for a mental health problem within the last year</c:v>
                </c:pt>
                <c:pt idx="1">
                  <c:v>Doctor diagnosed anxiety or depression</c:v>
                </c:pt>
                <c:pt idx="2">
                  <c:v>Feeling of life being worthwhile (low or medium: score 0-6 out of 10)</c:v>
                </c:pt>
              </c:strCache>
            </c:strRef>
          </c:cat>
          <c:val>
            <c:numRef>
              <c:f>'Mental Health'!$B$29:$B$31</c:f>
              <c:numCache>
                <c:formatCode>0.0%</c:formatCode>
                <c:ptCount val="3"/>
                <c:pt idx="0">
                  <c:v>0.21099999999999999</c:v>
                </c:pt>
                <c:pt idx="1">
                  <c:v>0.36309239999999998</c:v>
                </c:pt>
                <c:pt idx="2">
                  <c:v>0.16245380000000001</c:v>
                </c:pt>
              </c:numCache>
            </c:numRef>
          </c:val>
          <c:extLst>
            <c:ext xmlns:c16="http://schemas.microsoft.com/office/drawing/2014/chart" uri="{C3380CC4-5D6E-409C-BE32-E72D297353CC}">
              <c16:uniqueId val="{00000000-D89B-4951-8803-07E56B7D4693}"/>
            </c:ext>
          </c:extLst>
        </c:ser>
        <c:ser>
          <c:idx val="1"/>
          <c:order val="1"/>
          <c:tx>
            <c:strRef>
              <c:f>'Mental Health'!$G$27:$K$27</c:f>
              <c:strCache>
                <c:ptCount val="1"/>
                <c:pt idx="0">
                  <c:v>Male</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'Mental Health'!$A$29:$A$31</c:f>
              <c:strCache>
                <c:ptCount val="3"/>
                <c:pt idx="0">
                  <c:v>Adults who sought professional help for a mental health problem within the last year</c:v>
                </c:pt>
                <c:pt idx="1">
                  <c:v>Doctor diagnosed anxiety or depression</c:v>
                </c:pt>
                <c:pt idx="2">
                  <c:v>Feeling of life being worthwhile (low or medium: score 0-6 out of 10)</c:v>
                </c:pt>
              </c:strCache>
            </c:strRef>
          </c:cat>
          <c:val>
            <c:numRef>
              <c:f>'Mental Health'!$G$29:$G$31</c:f>
              <c:numCache>
                <c:formatCode>0.0%</c:formatCode>
                <c:ptCount val="3"/>
                <c:pt idx="0">
                  <c:v>0.18029999999999999</c:v>
                </c:pt>
                <c:pt idx="1">
                  <c:v>0.24462120000000001</c:v>
                </c:pt>
                <c:pt idx="2">
                  <c:v>0.21802150000000001</c:v>
                </c:pt>
              </c:numCache>
            </c:numRef>
          </c:val>
          <c:extLst>
            <c:ext xmlns:c16="http://schemas.microsoft.com/office/drawing/2014/chart" uri="{C3380CC4-5D6E-409C-BE32-E72D297353CC}">
              <c16:uniqueId val="{00000001-D89B-4951-8803-07E56B7D4693}"/>
            </c:ext>
          </c:extLst>
        </c:ser>
        <c:dLbls>
          <c:showLegendKey val="0"/>
          <c:showVal val="0"/>
          <c:showCatName val="0"/>
          <c:showSerName val="0"/>
          <c:showPercent val="0"/>
          <c:showBubbleSize val="0"/>
        </c:dLbls>
        <c:gapWidth val="25"/>
        <c:axId val="1065037816"/>
        <c:axId val="1065045360"/>
      </c:barChart>
      <c:catAx>
        <c:axId val="1065037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045360"/>
        <c:crosses val="autoZero"/>
        <c:auto val="1"/>
        <c:lblAlgn val="ctr"/>
        <c:lblOffset val="100"/>
        <c:noMultiLvlLbl val="0"/>
      </c:catAx>
      <c:valAx>
        <c:axId val="1065045360"/>
        <c:scaling>
          <c:orientation val="minMax"/>
          <c:max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037816"/>
        <c:crosses val="autoZero"/>
        <c:crossBetween val="between"/>
        <c:majorUnit val="0.1"/>
      </c:valAx>
      <c:spPr>
        <a:noFill/>
        <a:ln w="25400">
          <a:noFill/>
        </a:ln>
        <a:effectLst/>
      </c:spPr>
    </c:plotArea>
    <c:legend>
      <c:legendPos val="b"/>
      <c:layout>
        <c:manualLayout>
          <c:xMode val="edge"/>
          <c:yMode val="edge"/>
          <c:x val="0.27225021872265964"/>
          <c:y val="0.91261519393409141"/>
          <c:w val="0.2166106736657917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Health!$A$232</c:f>
              <c:strCache>
                <c:ptCount val="1"/>
                <c:pt idx="0">
                  <c:v>Metro West</c:v>
                </c:pt>
              </c:strCache>
            </c:strRef>
          </c:tx>
          <c:spPr>
            <a:solidFill>
              <a:srgbClr val="6A44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Health!$B$230:$G$231</c:f>
              <c:multiLvlStrCache>
                <c:ptCount val="6"/>
                <c:lvl>
                  <c:pt idx="0">
                    <c:v>Female</c:v>
                  </c:pt>
                  <c:pt idx="1">
                    <c:v>Male</c:v>
                  </c:pt>
                  <c:pt idx="2">
                    <c:v>Female</c:v>
                  </c:pt>
                  <c:pt idx="3">
                    <c:v>Male</c:v>
                  </c:pt>
                  <c:pt idx="4">
                    <c:v>Female</c:v>
                  </c:pt>
                  <c:pt idx="5">
                    <c:v>Male</c:v>
                  </c:pt>
                </c:lvl>
                <c:lvl>
                  <c:pt idx="0">
                    <c:v>Hepatitis B</c:v>
                  </c:pt>
                  <c:pt idx="2">
                    <c:v>Gonorrhoea</c:v>
                  </c:pt>
                  <c:pt idx="4">
                    <c:v>Chlamydia</c:v>
                  </c:pt>
                </c:lvl>
              </c:multiLvlStrCache>
            </c:multiLvlStrRef>
          </c:cat>
          <c:val>
            <c:numRef>
              <c:f>Health!$B$232:$G$232</c:f>
              <c:numCache>
                <c:formatCode>0.0%</c:formatCode>
                <c:ptCount val="6"/>
                <c:pt idx="0">
                  <c:v>0.02</c:v>
                </c:pt>
                <c:pt idx="1">
                  <c:v>2.9000000000000001E-2</c:v>
                </c:pt>
                <c:pt idx="2">
                  <c:v>3.9E-2</c:v>
                </c:pt>
                <c:pt idx="3">
                  <c:v>0.158</c:v>
                </c:pt>
                <c:pt idx="4">
                  <c:v>0.26200000000000001</c:v>
                </c:pt>
                <c:pt idx="5">
                  <c:v>0.28999999999999998</c:v>
                </c:pt>
              </c:numCache>
            </c:numRef>
          </c:val>
          <c:extLst>
            <c:ext xmlns:c16="http://schemas.microsoft.com/office/drawing/2014/chart" uri="{C3380CC4-5D6E-409C-BE32-E72D297353CC}">
              <c16:uniqueId val="{00000000-F4AF-4DF0-899E-8CFF74F5F9C3}"/>
            </c:ext>
          </c:extLst>
        </c:ser>
        <c:ser>
          <c:idx val="1"/>
          <c:order val="1"/>
          <c:tx>
            <c:strRef>
              <c:f>Health!$A$233</c:f>
              <c:strCache>
                <c:ptCount val="1"/>
                <c:pt idx="0">
                  <c:v>Victoria</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Health!$B$230:$G$231</c:f>
              <c:multiLvlStrCache>
                <c:ptCount val="6"/>
                <c:lvl>
                  <c:pt idx="0">
                    <c:v>Female</c:v>
                  </c:pt>
                  <c:pt idx="1">
                    <c:v>Male</c:v>
                  </c:pt>
                  <c:pt idx="2">
                    <c:v>Female</c:v>
                  </c:pt>
                  <c:pt idx="3">
                    <c:v>Male</c:v>
                  </c:pt>
                  <c:pt idx="4">
                    <c:v>Female</c:v>
                  </c:pt>
                  <c:pt idx="5">
                    <c:v>Male</c:v>
                  </c:pt>
                </c:lvl>
                <c:lvl>
                  <c:pt idx="0">
                    <c:v>Hepatitis B</c:v>
                  </c:pt>
                  <c:pt idx="2">
                    <c:v>Gonorrhoea</c:v>
                  </c:pt>
                  <c:pt idx="4">
                    <c:v>Chlamydia</c:v>
                  </c:pt>
                </c:lvl>
              </c:multiLvlStrCache>
            </c:multiLvlStrRef>
          </c:cat>
          <c:val>
            <c:numRef>
              <c:f>Health!$B$233:$G$233</c:f>
              <c:numCache>
                <c:formatCode>0.0%</c:formatCode>
                <c:ptCount val="6"/>
                <c:pt idx="0">
                  <c:v>0.01</c:v>
                </c:pt>
                <c:pt idx="1">
                  <c:v>0.01</c:v>
                </c:pt>
                <c:pt idx="2">
                  <c:v>2.4E-2</c:v>
                </c:pt>
                <c:pt idx="3">
                  <c:v>6.4000000000000001E-2</c:v>
                </c:pt>
                <c:pt idx="4">
                  <c:v>0.20799999999999999</c:v>
                </c:pt>
                <c:pt idx="5">
                  <c:v>0.18099999999999999</c:v>
                </c:pt>
              </c:numCache>
            </c:numRef>
          </c:val>
          <c:extLst>
            <c:ext xmlns:c16="http://schemas.microsoft.com/office/drawing/2014/chart" uri="{C3380CC4-5D6E-409C-BE32-E72D297353CC}">
              <c16:uniqueId val="{00000001-F4AF-4DF0-899E-8CFF74F5F9C3}"/>
            </c:ext>
          </c:extLst>
        </c:ser>
        <c:ser>
          <c:idx val="2"/>
          <c:order val="2"/>
          <c:tx>
            <c:strRef>
              <c:f>Health!$A$234</c:f>
              <c:strCache>
                <c:ptCount val="1"/>
                <c:pt idx="0">
                  <c:v>Moonee Valley</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ircular Std Book" panose="020B0604020101020102" pitchFamily="34" charset="0"/>
                    <a:ea typeface="+mn-ea"/>
                    <a:cs typeface="Circular Std Book" panose="020B0604020101020102"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Health!$B$230:$G$231</c:f>
              <c:multiLvlStrCache>
                <c:ptCount val="6"/>
                <c:lvl>
                  <c:pt idx="0">
                    <c:v>Female</c:v>
                  </c:pt>
                  <c:pt idx="1">
                    <c:v>Male</c:v>
                  </c:pt>
                  <c:pt idx="2">
                    <c:v>Female</c:v>
                  </c:pt>
                  <c:pt idx="3">
                    <c:v>Male</c:v>
                  </c:pt>
                  <c:pt idx="4">
                    <c:v>Female</c:v>
                  </c:pt>
                  <c:pt idx="5">
                    <c:v>Male</c:v>
                  </c:pt>
                </c:lvl>
                <c:lvl>
                  <c:pt idx="0">
                    <c:v>Hepatitis B</c:v>
                  </c:pt>
                  <c:pt idx="2">
                    <c:v>Gonorrhoea</c:v>
                  </c:pt>
                  <c:pt idx="4">
                    <c:v>Chlamydia</c:v>
                  </c:pt>
                </c:lvl>
              </c:multiLvlStrCache>
            </c:multiLvlStrRef>
          </c:cat>
          <c:val>
            <c:numRef>
              <c:f>Health!$B$234:$G$234</c:f>
              <c:numCache>
                <c:formatCode>0.0%</c:formatCode>
                <c:ptCount val="6"/>
                <c:pt idx="0">
                  <c:v>6.0000000000000001E-3</c:v>
                </c:pt>
                <c:pt idx="1">
                  <c:v>1.03E-2</c:v>
                </c:pt>
                <c:pt idx="2">
                  <c:v>3.2599999999999997E-2</c:v>
                </c:pt>
                <c:pt idx="3">
                  <c:v>0.10970000000000001</c:v>
                </c:pt>
                <c:pt idx="4">
                  <c:v>0.1328</c:v>
                </c:pt>
                <c:pt idx="5">
                  <c:v>0.14230000000000001</c:v>
                </c:pt>
              </c:numCache>
            </c:numRef>
          </c:val>
          <c:extLst>
            <c:ext xmlns:c16="http://schemas.microsoft.com/office/drawing/2014/chart" uri="{C3380CC4-5D6E-409C-BE32-E72D297353CC}">
              <c16:uniqueId val="{00000002-F4AF-4DF0-899E-8CFF74F5F9C3}"/>
            </c:ext>
          </c:extLst>
        </c:ser>
        <c:dLbls>
          <c:dLblPos val="outEnd"/>
          <c:showLegendKey val="0"/>
          <c:showVal val="1"/>
          <c:showCatName val="0"/>
          <c:showSerName val="0"/>
          <c:showPercent val="0"/>
          <c:showBubbleSize val="0"/>
        </c:dLbls>
        <c:gapWidth val="25"/>
        <c:axId val="1144383488"/>
        <c:axId val="1144376928"/>
      </c:barChart>
      <c:catAx>
        <c:axId val="114438348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376928"/>
        <c:crosses val="autoZero"/>
        <c:auto val="1"/>
        <c:lblAlgn val="ctr"/>
        <c:lblOffset val="100"/>
        <c:noMultiLvlLbl val="0"/>
      </c:catAx>
      <c:valAx>
        <c:axId val="1144376928"/>
        <c:scaling>
          <c:orientation val="minMax"/>
          <c:max val="0.4"/>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38348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'20 year compare'!$B$65</c:f>
              <c:strCache>
                <c:ptCount val="1"/>
                <c:pt idx="0">
                  <c:v>0-24</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 year compare'!$A$66:$A$78</c:f>
              <c:strCache>
                <c:ptCount val="13"/>
                <c:pt idx="0">
                  <c:v>Strathmore Heights</c:v>
                </c:pt>
                <c:pt idx="1">
                  <c:v>Strathmore</c:v>
                </c:pt>
                <c:pt idx="2">
                  <c:v>Niddrie / Essendon West</c:v>
                </c:pt>
                <c:pt idx="3">
                  <c:v>Moonee Ponds</c:v>
                </c:pt>
                <c:pt idx="4">
                  <c:v>Milleara</c:v>
                </c:pt>
                <c:pt idx="5">
                  <c:v>Keilor Road / Essendon North</c:v>
                </c:pt>
                <c:pt idx="6">
                  <c:v>Keilor East</c:v>
                </c:pt>
                <c:pt idx="7">
                  <c:v>Flemington</c:v>
                </c:pt>
                <c:pt idx="8">
                  <c:v>Essendon</c:v>
                </c:pt>
                <c:pt idx="9">
                  <c:v>Avondale Heights</c:v>
                </c:pt>
                <c:pt idx="10">
                  <c:v>Ascot Vale</c:v>
                </c:pt>
                <c:pt idx="11">
                  <c:v>Airport West</c:v>
                </c:pt>
                <c:pt idx="12">
                  <c:v>Aberfeldie</c:v>
                </c:pt>
              </c:strCache>
            </c:strRef>
          </c:cat>
          <c:val>
            <c:numRef>
              <c:f>'20 year compare'!$B$66:$B$78</c:f>
              <c:numCache>
                <c:formatCode>0.0%</c:formatCode>
                <c:ptCount val="13"/>
                <c:pt idx="0">
                  <c:v>0.25160196004523183</c:v>
                </c:pt>
                <c:pt idx="1">
                  <c:v>0.29385171790235082</c:v>
                </c:pt>
                <c:pt idx="2">
                  <c:v>0.2848883572567783</c:v>
                </c:pt>
                <c:pt idx="3">
                  <c:v>0.30165274569042116</c:v>
                </c:pt>
                <c:pt idx="4">
                  <c:v>0.24694285926035722</c:v>
                </c:pt>
                <c:pt idx="5">
                  <c:v>0.27274388016075996</c:v>
                </c:pt>
                <c:pt idx="6">
                  <c:v>0.2361718304504847</c:v>
                </c:pt>
                <c:pt idx="7">
                  <c:v>0.2999784691570675</c:v>
                </c:pt>
                <c:pt idx="8">
                  <c:v>0.27153343659505691</c:v>
                </c:pt>
                <c:pt idx="9">
                  <c:v>0.25614831630722662</c:v>
                </c:pt>
                <c:pt idx="10">
                  <c:v>0.28450668685339392</c:v>
                </c:pt>
                <c:pt idx="11">
                  <c:v>0.25693962526023595</c:v>
                </c:pt>
                <c:pt idx="12">
                  <c:v>0.26342311033883581</c:v>
                </c:pt>
              </c:numCache>
            </c:numRef>
          </c:val>
          <c:extLst>
            <c:ext xmlns:c16="http://schemas.microsoft.com/office/drawing/2014/chart" uri="{C3380CC4-5D6E-409C-BE32-E72D297353CC}">
              <c16:uniqueId val="{00000000-338D-4612-A8E2-2EBBB67241D1}"/>
            </c:ext>
          </c:extLst>
        </c:ser>
        <c:ser>
          <c:idx val="1"/>
          <c:order val="1"/>
          <c:tx>
            <c:strRef>
              <c:f>'20 year compare'!$C$65</c:f>
              <c:strCache>
                <c:ptCount val="1"/>
                <c:pt idx="0">
                  <c:v>25-64</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 year compare'!$A$66:$A$78</c:f>
              <c:strCache>
                <c:ptCount val="13"/>
                <c:pt idx="0">
                  <c:v>Strathmore Heights</c:v>
                </c:pt>
                <c:pt idx="1">
                  <c:v>Strathmore</c:v>
                </c:pt>
                <c:pt idx="2">
                  <c:v>Niddrie / Essendon West</c:v>
                </c:pt>
                <c:pt idx="3">
                  <c:v>Moonee Ponds</c:v>
                </c:pt>
                <c:pt idx="4">
                  <c:v>Milleara</c:v>
                </c:pt>
                <c:pt idx="5">
                  <c:v>Keilor Road / Essendon North</c:v>
                </c:pt>
                <c:pt idx="6">
                  <c:v>Keilor East</c:v>
                </c:pt>
                <c:pt idx="7">
                  <c:v>Flemington</c:v>
                </c:pt>
                <c:pt idx="8">
                  <c:v>Essendon</c:v>
                </c:pt>
                <c:pt idx="9">
                  <c:v>Avondale Heights</c:v>
                </c:pt>
                <c:pt idx="10">
                  <c:v>Ascot Vale</c:v>
                </c:pt>
                <c:pt idx="11">
                  <c:v>Airport West</c:v>
                </c:pt>
                <c:pt idx="12">
                  <c:v>Aberfeldie</c:v>
                </c:pt>
              </c:strCache>
            </c:strRef>
          </c:cat>
          <c:val>
            <c:numRef>
              <c:f>'20 year compare'!$C$66:$C$78</c:f>
              <c:numCache>
                <c:formatCode>0.0%</c:formatCode>
                <c:ptCount val="13"/>
                <c:pt idx="0">
                  <c:v>0.51413494157557482</c:v>
                </c:pt>
                <c:pt idx="1">
                  <c:v>0.48088349263756136</c:v>
                </c:pt>
                <c:pt idx="2">
                  <c:v>0.51624800637958534</c:v>
                </c:pt>
                <c:pt idx="3">
                  <c:v>0.50758841300870805</c:v>
                </c:pt>
                <c:pt idx="4">
                  <c:v>0.47587638034536428</c:v>
                </c:pt>
                <c:pt idx="5">
                  <c:v>0.52423578126902937</c:v>
                </c:pt>
                <c:pt idx="6">
                  <c:v>0.47947158334917317</c:v>
                </c:pt>
                <c:pt idx="7">
                  <c:v>0.55684142534180214</c:v>
                </c:pt>
                <c:pt idx="8">
                  <c:v>0.5495319550138057</c:v>
                </c:pt>
                <c:pt idx="9">
                  <c:v>0.54962794803884474</c:v>
                </c:pt>
                <c:pt idx="10">
                  <c:v>0.57557406005551348</c:v>
                </c:pt>
                <c:pt idx="11">
                  <c:v>0.52706453851492019</c:v>
                </c:pt>
                <c:pt idx="12">
                  <c:v>0.55065160729800178</c:v>
                </c:pt>
              </c:numCache>
            </c:numRef>
          </c:val>
          <c:extLst>
            <c:ext xmlns:c16="http://schemas.microsoft.com/office/drawing/2014/chart" uri="{C3380CC4-5D6E-409C-BE32-E72D297353CC}">
              <c16:uniqueId val="{00000001-338D-4612-A8E2-2EBBB67241D1}"/>
            </c:ext>
          </c:extLst>
        </c:ser>
        <c:ser>
          <c:idx val="2"/>
          <c:order val="2"/>
          <c:tx>
            <c:strRef>
              <c:f>'20 year compare'!$D$65</c:f>
              <c:strCache>
                <c:ptCount val="1"/>
                <c:pt idx="0">
                  <c:v>65+</c:v>
                </c:pt>
              </c:strCache>
            </c:strRef>
          </c:tx>
          <c:spPr>
            <a:solidFill>
              <a:srgbClr val="6A44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 year compare'!$A$66:$A$78</c:f>
              <c:strCache>
                <c:ptCount val="13"/>
                <c:pt idx="0">
                  <c:v>Strathmore Heights</c:v>
                </c:pt>
                <c:pt idx="1">
                  <c:v>Strathmore</c:v>
                </c:pt>
                <c:pt idx="2">
                  <c:v>Niddrie / Essendon West</c:v>
                </c:pt>
                <c:pt idx="3">
                  <c:v>Moonee Ponds</c:v>
                </c:pt>
                <c:pt idx="4">
                  <c:v>Milleara</c:v>
                </c:pt>
                <c:pt idx="5">
                  <c:v>Keilor Road / Essendon North</c:v>
                </c:pt>
                <c:pt idx="6">
                  <c:v>Keilor East</c:v>
                </c:pt>
                <c:pt idx="7">
                  <c:v>Flemington</c:v>
                </c:pt>
                <c:pt idx="8">
                  <c:v>Essendon</c:v>
                </c:pt>
                <c:pt idx="9">
                  <c:v>Avondale Heights</c:v>
                </c:pt>
                <c:pt idx="10">
                  <c:v>Ascot Vale</c:v>
                </c:pt>
                <c:pt idx="11">
                  <c:v>Airport West</c:v>
                </c:pt>
                <c:pt idx="12">
                  <c:v>Aberfeldie</c:v>
                </c:pt>
              </c:strCache>
            </c:strRef>
          </c:cat>
          <c:val>
            <c:numRef>
              <c:f>'20 year compare'!$D$66:$D$78</c:f>
              <c:numCache>
                <c:formatCode>0.0%</c:formatCode>
                <c:ptCount val="13"/>
                <c:pt idx="0">
                  <c:v>0.23426309837919337</c:v>
                </c:pt>
                <c:pt idx="1">
                  <c:v>0.22526478946008782</c:v>
                </c:pt>
                <c:pt idx="2">
                  <c:v>0.19886363636363635</c:v>
                </c:pt>
                <c:pt idx="3">
                  <c:v>0.19075884130087081</c:v>
                </c:pt>
                <c:pt idx="4">
                  <c:v>0.27718076039427852</c:v>
                </c:pt>
                <c:pt idx="5">
                  <c:v>0.20302033857021071</c:v>
                </c:pt>
                <c:pt idx="6">
                  <c:v>0.28435658620034215</c:v>
                </c:pt>
                <c:pt idx="7">
                  <c:v>0.14318010550113036</c:v>
                </c:pt>
                <c:pt idx="8">
                  <c:v>0.17893460839113745</c:v>
                </c:pt>
                <c:pt idx="9">
                  <c:v>0.19422373565392861</c:v>
                </c:pt>
                <c:pt idx="10">
                  <c:v>0.1399192530910926</c:v>
                </c:pt>
                <c:pt idx="11">
                  <c:v>0.21599583622484386</c:v>
                </c:pt>
                <c:pt idx="12">
                  <c:v>0.18592528236316247</c:v>
                </c:pt>
              </c:numCache>
            </c:numRef>
          </c:val>
          <c:extLst>
            <c:ext xmlns:c16="http://schemas.microsoft.com/office/drawing/2014/chart" uri="{C3380CC4-5D6E-409C-BE32-E72D297353CC}">
              <c16:uniqueId val="{00000002-338D-4612-A8E2-2EBBB67241D1}"/>
            </c:ext>
          </c:extLst>
        </c:ser>
        <c:dLbls>
          <c:dLblPos val="ctr"/>
          <c:showLegendKey val="0"/>
          <c:showVal val="1"/>
          <c:showCatName val="0"/>
          <c:showSerName val="0"/>
          <c:showPercent val="0"/>
          <c:showBubbleSize val="0"/>
        </c:dLbls>
        <c:gapWidth val="25"/>
        <c:overlap val="100"/>
        <c:axId val="152352640"/>
        <c:axId val="152354280"/>
      </c:barChart>
      <c:catAx>
        <c:axId val="152352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Neighbourhood</a:t>
                </a:r>
              </a:p>
            </c:rich>
          </c:tx>
          <c:layout>
            <c:manualLayout>
              <c:xMode val="edge"/>
              <c:yMode val="edge"/>
              <c:x val="1.6666666666666666E-2"/>
              <c:y val="0.353706620005832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54280"/>
        <c:crosses val="autoZero"/>
        <c:auto val="1"/>
        <c:lblAlgn val="ctr"/>
        <c:lblOffset val="100"/>
        <c:noMultiLvlLbl val="0"/>
      </c:catAx>
      <c:valAx>
        <c:axId val="152354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neighbourhood 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52640"/>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Housing!$B$44</c:f>
              <c:strCache>
                <c:ptCount val="1"/>
                <c:pt idx="0">
                  <c:v>Greater Melbourne</c:v>
                </c:pt>
              </c:strCache>
            </c:strRef>
          </c:tx>
          <c:spPr>
            <a:solidFill>
              <a:srgbClr val="3178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Housing!$A$45:$A$52</c:f>
              <c:strCache>
                <c:ptCount val="8"/>
                <c:pt idx="0">
                  <c:v>Visitor only households</c:v>
                </c:pt>
                <c:pt idx="1">
                  <c:v>Other families</c:v>
                </c:pt>
                <c:pt idx="2">
                  <c:v>Other not classifiable</c:v>
                </c:pt>
                <c:pt idx="3">
                  <c:v> Group household</c:v>
                </c:pt>
                <c:pt idx="4">
                  <c:v>One parent families</c:v>
                </c:pt>
                <c:pt idx="5">
                  <c:v>Couples without children</c:v>
                </c:pt>
                <c:pt idx="6">
                  <c:v>Lone person</c:v>
                </c:pt>
                <c:pt idx="7">
                  <c:v>Couples with children</c:v>
                </c:pt>
              </c:strCache>
            </c:strRef>
          </c:cat>
          <c:val>
            <c:numRef>
              <c:f>Housing!$B$45:$B$52</c:f>
              <c:numCache>
                <c:formatCode>0.0%</c:formatCode>
                <c:ptCount val="8"/>
                <c:pt idx="0">
                  <c:v>8.9999999999999993E-3</c:v>
                </c:pt>
                <c:pt idx="1">
                  <c:v>3.2000000000000001E-2</c:v>
                </c:pt>
                <c:pt idx="2">
                  <c:v>4.4999999999999998E-2</c:v>
                </c:pt>
                <c:pt idx="3">
                  <c:v>4.7E-2</c:v>
                </c:pt>
                <c:pt idx="4">
                  <c:v>9.7000000000000003E-2</c:v>
                </c:pt>
                <c:pt idx="5">
                  <c:v>0.22500000000000001</c:v>
                </c:pt>
                <c:pt idx="6">
                  <c:v>0.22</c:v>
                </c:pt>
                <c:pt idx="7">
                  <c:v>0.32500000000000001</c:v>
                </c:pt>
              </c:numCache>
            </c:numRef>
          </c:val>
          <c:extLst>
            <c:ext xmlns:c16="http://schemas.microsoft.com/office/drawing/2014/chart" uri="{C3380CC4-5D6E-409C-BE32-E72D297353CC}">
              <c16:uniqueId val="{00000000-9F32-4EF8-B259-9FDE9451619D}"/>
            </c:ext>
          </c:extLst>
        </c:ser>
        <c:ser>
          <c:idx val="1"/>
          <c:order val="1"/>
          <c:tx>
            <c:strRef>
              <c:f>Housing!$C$44</c:f>
              <c:strCache>
                <c:ptCount val="1"/>
                <c:pt idx="0">
                  <c:v>Moonee Valley </c:v>
                </c:pt>
              </c:strCache>
            </c:strRef>
          </c:tx>
          <c:spPr>
            <a:solidFill>
              <a:srgbClr val="E550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Housing!$A$45:$A$52</c:f>
              <c:strCache>
                <c:ptCount val="8"/>
                <c:pt idx="0">
                  <c:v>Visitor only households</c:v>
                </c:pt>
                <c:pt idx="1">
                  <c:v>Other families</c:v>
                </c:pt>
                <c:pt idx="2">
                  <c:v>Other not classifiable</c:v>
                </c:pt>
                <c:pt idx="3">
                  <c:v> Group household</c:v>
                </c:pt>
                <c:pt idx="4">
                  <c:v>One parent families</c:v>
                </c:pt>
                <c:pt idx="5">
                  <c:v>Couples without children</c:v>
                </c:pt>
                <c:pt idx="6">
                  <c:v>Lone person</c:v>
                </c:pt>
                <c:pt idx="7">
                  <c:v>Couples with children</c:v>
                </c:pt>
              </c:strCache>
            </c:strRef>
          </c:cat>
          <c:val>
            <c:numRef>
              <c:f>Housing!$C$45:$C$52</c:f>
              <c:numCache>
                <c:formatCode>0.0%</c:formatCode>
                <c:ptCount val="8"/>
                <c:pt idx="0">
                  <c:v>7.0000000000000001E-3</c:v>
                </c:pt>
                <c:pt idx="1">
                  <c:v>2.7E-2</c:v>
                </c:pt>
                <c:pt idx="2">
                  <c:v>4.7E-2</c:v>
                </c:pt>
                <c:pt idx="3">
                  <c:v>4.7E-2</c:v>
                </c:pt>
                <c:pt idx="4">
                  <c:v>9.0999999999999998E-2</c:v>
                </c:pt>
                <c:pt idx="5">
                  <c:v>0.22500000000000001</c:v>
                </c:pt>
                <c:pt idx="6">
                  <c:v>0.25</c:v>
                </c:pt>
                <c:pt idx="7">
                  <c:v>0.307</c:v>
                </c:pt>
              </c:numCache>
            </c:numRef>
          </c:val>
          <c:extLst>
            <c:ext xmlns:c16="http://schemas.microsoft.com/office/drawing/2014/chart" uri="{C3380CC4-5D6E-409C-BE32-E72D297353CC}">
              <c16:uniqueId val="{00000001-9F32-4EF8-B259-9FDE9451619D}"/>
            </c:ext>
          </c:extLst>
        </c:ser>
        <c:dLbls>
          <c:dLblPos val="outEnd"/>
          <c:showLegendKey val="0"/>
          <c:showVal val="1"/>
          <c:showCatName val="0"/>
          <c:showSerName val="0"/>
          <c:showPercent val="0"/>
          <c:showBubbleSize val="0"/>
        </c:dLbls>
        <c:gapWidth val="25"/>
        <c:axId val="864358208"/>
        <c:axId val="864364112"/>
      </c:barChart>
      <c:catAx>
        <c:axId val="86435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364112"/>
        <c:crosses val="autoZero"/>
        <c:auto val="1"/>
        <c:lblAlgn val="ctr"/>
        <c:lblOffset val="100"/>
        <c:noMultiLvlLbl val="0"/>
      </c:catAx>
      <c:valAx>
        <c:axId val="864364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households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358208"/>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Housing!$D$91</c:f>
              <c:strCache>
                <c:ptCount val="1"/>
                <c:pt idx="0">
                  <c:v>Lone Person Dwellings (%)</c:v>
                </c:pt>
              </c:strCache>
            </c:strRef>
          </c:tx>
          <c:spPr>
            <a:solidFill>
              <a:srgbClr val="31788F"/>
            </a:solidFill>
            <a:ln>
              <a:noFill/>
            </a:ln>
            <a:effectLst/>
          </c:spPr>
          <c:invertIfNegative val="0"/>
          <c:dPt>
            <c:idx val="7"/>
            <c:invertIfNegative val="0"/>
            <c:bubble3D val="0"/>
            <c:spPr>
              <a:solidFill>
                <a:srgbClr val="E55048"/>
              </a:solidFill>
              <a:ln>
                <a:noFill/>
              </a:ln>
              <a:effectLst/>
            </c:spPr>
            <c:extLst>
              <c:ext xmlns:c16="http://schemas.microsoft.com/office/drawing/2014/chart" uri="{C3380CC4-5D6E-409C-BE32-E72D297353CC}">
                <c16:uniqueId val="{00000001-1C41-4DC4-85C4-DDF0C4C20881}"/>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Housing!$A$92:$A$105</c:f>
              <c:strCache>
                <c:ptCount val="14"/>
                <c:pt idx="0">
                  <c:v>Keilor East</c:v>
                </c:pt>
                <c:pt idx="1">
                  <c:v>Strathmore Heights</c:v>
                </c:pt>
                <c:pt idx="2">
                  <c:v>Aberfeldie</c:v>
                </c:pt>
                <c:pt idx="3">
                  <c:v>Strathmore</c:v>
                </c:pt>
                <c:pt idx="4">
                  <c:v>Niddrie / Essendon West</c:v>
                </c:pt>
                <c:pt idx="5">
                  <c:v>Airport West</c:v>
                </c:pt>
                <c:pt idx="6">
                  <c:v>Avondale Heights</c:v>
                </c:pt>
                <c:pt idx="7">
                  <c:v>Moonee Valley (City)</c:v>
                </c:pt>
                <c:pt idx="8">
                  <c:v>Milleara</c:v>
                </c:pt>
                <c:pt idx="9">
                  <c:v>Ascot Vale</c:v>
                </c:pt>
                <c:pt idx="10">
                  <c:v>Essendon</c:v>
                </c:pt>
                <c:pt idx="11">
                  <c:v>Moonee Ponds</c:v>
                </c:pt>
                <c:pt idx="12">
                  <c:v>Keilor Road / Essendon North</c:v>
                </c:pt>
                <c:pt idx="13">
                  <c:v>Flemington</c:v>
                </c:pt>
              </c:strCache>
            </c:strRef>
          </c:cat>
          <c:val>
            <c:numRef>
              <c:f>Housing!$D$92:$D$105</c:f>
              <c:numCache>
                <c:formatCode>0.0%</c:formatCode>
                <c:ptCount val="14"/>
                <c:pt idx="0">
                  <c:v>0.18699186991869918</c:v>
                </c:pt>
                <c:pt idx="1">
                  <c:v>0.19023689877961233</c:v>
                </c:pt>
                <c:pt idx="2">
                  <c:v>0.19390743995313414</c:v>
                </c:pt>
                <c:pt idx="3">
                  <c:v>0.20095465393794748</c:v>
                </c:pt>
                <c:pt idx="4">
                  <c:v>0.20949619427328742</c:v>
                </c:pt>
                <c:pt idx="5">
                  <c:v>0.21604627766599599</c:v>
                </c:pt>
                <c:pt idx="6">
                  <c:v>0.2220175034546292</c:v>
                </c:pt>
                <c:pt idx="7">
                  <c:v>0.2651766004415011</c:v>
                </c:pt>
                <c:pt idx="8">
                  <c:v>0.27945569200132758</c:v>
                </c:pt>
                <c:pt idx="9">
                  <c:v>0.28062953995157386</c:v>
                </c:pt>
                <c:pt idx="10">
                  <c:v>0.28993020937188435</c:v>
                </c:pt>
                <c:pt idx="11">
                  <c:v>0.30969986950848194</c:v>
                </c:pt>
                <c:pt idx="12">
                  <c:v>0.31077283372365339</c:v>
                </c:pt>
                <c:pt idx="13">
                  <c:v>0.33315649867374003</c:v>
                </c:pt>
              </c:numCache>
            </c:numRef>
          </c:val>
          <c:extLst>
            <c:ext xmlns:c16="http://schemas.microsoft.com/office/drawing/2014/chart" uri="{C3380CC4-5D6E-409C-BE32-E72D297353CC}">
              <c16:uniqueId val="{00000002-1C41-4DC4-85C4-DDF0C4C20881}"/>
            </c:ext>
          </c:extLst>
        </c:ser>
        <c:dLbls>
          <c:dLblPos val="inEnd"/>
          <c:showLegendKey val="0"/>
          <c:showVal val="1"/>
          <c:showCatName val="0"/>
          <c:showSerName val="0"/>
          <c:showPercent val="0"/>
          <c:showBubbleSize val="0"/>
        </c:dLbls>
        <c:gapWidth val="25"/>
        <c:axId val="662328128"/>
        <c:axId val="662333048"/>
      </c:barChart>
      <c:catAx>
        <c:axId val="66232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662333048"/>
        <c:crosses val="autoZero"/>
        <c:auto val="1"/>
        <c:lblAlgn val="ctr"/>
        <c:lblOffset val="100"/>
        <c:noMultiLvlLbl val="0"/>
      </c:catAx>
      <c:valAx>
        <c:axId val="662333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r>
                  <a:rPr lang="en-AU"/>
                  <a:t>Percent</a:t>
                </a:r>
                <a:r>
                  <a:rPr lang="en-AU" baseline="0"/>
                  <a:t> of households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ircular Std Book" panose="020B0604020101020102" pitchFamily="34" charset="0"/>
                <a:ea typeface="+mn-ea"/>
                <a:cs typeface="Circular Std Book" panose="020B0604020101020102" pitchFamily="34" charset="0"/>
              </a:defRPr>
            </a:pPr>
            <a:endParaRPr lang="en-US"/>
          </a:p>
        </c:txPr>
        <c:crossAx val="66232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ircular Std Book" panose="020B0604020101020102" pitchFamily="34" charset="0"/>
          <a:cs typeface="Circular Std Book" panose="020B0604020101020102"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1"/>
          <c:order val="0"/>
          <c:tx>
            <c:strRef>
              <c:f>ATSI!$B$1</c:f>
              <c:strCache>
                <c:ptCount val="1"/>
                <c:pt idx="0">
                  <c:v>Population </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ircular Std Book" panose="020B0604020101020102" pitchFamily="34" charset="0"/>
                    <a:ea typeface="+mn-ea"/>
                    <a:cs typeface="Circular Std Book" panose="020B0604020101020102"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ATSI!$A$2:$A$5</c:f>
              <c:numCache>
                <c:formatCode>General</c:formatCode>
                <c:ptCount val="4"/>
                <c:pt idx="0">
                  <c:v>2001</c:v>
                </c:pt>
                <c:pt idx="1">
                  <c:v>2006</c:v>
                </c:pt>
                <c:pt idx="2">
                  <c:v>2011</c:v>
                </c:pt>
                <c:pt idx="3">
                  <c:v>2016</c:v>
                </c:pt>
              </c:numCache>
            </c:numRef>
          </c:cat>
          <c:val>
            <c:numRef>
              <c:f>ATSI!$B$2:$B$5</c:f>
              <c:numCache>
                <c:formatCode>General</c:formatCode>
                <c:ptCount val="4"/>
                <c:pt idx="0">
                  <c:v>273</c:v>
                </c:pt>
                <c:pt idx="1">
                  <c:v>324</c:v>
                </c:pt>
                <c:pt idx="2">
                  <c:v>317</c:v>
                </c:pt>
                <c:pt idx="3">
                  <c:v>430</c:v>
                </c:pt>
              </c:numCache>
            </c:numRef>
          </c:val>
          <c:extLst>
            <c:ext xmlns:c16="http://schemas.microsoft.com/office/drawing/2014/chart" uri="{C3380CC4-5D6E-409C-BE32-E72D297353CC}">
              <c16:uniqueId val="{00000000-744B-447A-B308-212094A03BBF}"/>
            </c:ext>
          </c:extLst>
        </c:ser>
        <c:dLbls>
          <c:dLblPos val="inEnd"/>
          <c:showLegendKey val="0"/>
          <c:showVal val="1"/>
          <c:showCatName val="0"/>
          <c:showSerName val="0"/>
          <c:showPercent val="0"/>
          <c:showBubbleSize val="0"/>
        </c:dLbls>
        <c:gapWidth val="25"/>
        <c:overlap val="-27"/>
        <c:axId val="880211360"/>
        <c:axId val="880212672"/>
      </c:barChart>
      <c:catAx>
        <c:axId val="88021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212672"/>
        <c:crosses val="autoZero"/>
        <c:auto val="1"/>
        <c:lblAlgn val="ctr"/>
        <c:lblOffset val="100"/>
        <c:noMultiLvlLbl val="0"/>
      </c:catAx>
      <c:valAx>
        <c:axId val="88021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211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Men</c:v>
                </c:pt>
              </c:strCache>
            </c:strRef>
          </c:tx>
          <c:spPr>
            <a:solidFill>
              <a:schemeClr val="accent1"/>
            </a:solidFill>
            <a:ln>
              <a:noFill/>
            </a:ln>
            <a:effectLst/>
          </c:spPr>
          <c:invertIfNegative val="0"/>
          <c:cat>
            <c:strRef>
              <c:f>Sheet1!$A$3:$A$9</c:f>
              <c:strCache>
                <c:ptCount val="7"/>
                <c:pt idx="0">
                  <c:v>0-14</c:v>
                </c:pt>
                <c:pt idx="1">
                  <c:v>15-24</c:v>
                </c:pt>
                <c:pt idx="2">
                  <c:v>25-34</c:v>
                </c:pt>
                <c:pt idx="3">
                  <c:v>35-44</c:v>
                </c:pt>
                <c:pt idx="4">
                  <c:v>45-54</c:v>
                </c:pt>
                <c:pt idx="5">
                  <c:v>55-64</c:v>
                </c:pt>
                <c:pt idx="6">
                  <c:v>65+</c:v>
                </c:pt>
              </c:strCache>
            </c:strRef>
          </c:cat>
          <c:val>
            <c:numRef>
              <c:f>Sheet1!$B$3:$B$9</c:f>
              <c:numCache>
                <c:formatCode>General</c:formatCode>
                <c:ptCount val="7"/>
                <c:pt idx="0">
                  <c:v>7.4</c:v>
                </c:pt>
                <c:pt idx="1">
                  <c:v>7.5</c:v>
                </c:pt>
                <c:pt idx="2">
                  <c:v>6</c:v>
                </c:pt>
                <c:pt idx="3">
                  <c:v>6.9</c:v>
                </c:pt>
                <c:pt idx="4">
                  <c:v>11.9</c:v>
                </c:pt>
                <c:pt idx="5">
                  <c:v>19.100000000000001</c:v>
                </c:pt>
                <c:pt idx="6">
                  <c:v>45.1</c:v>
                </c:pt>
              </c:numCache>
            </c:numRef>
          </c:val>
          <c:extLst>
            <c:ext xmlns:c16="http://schemas.microsoft.com/office/drawing/2014/chart" uri="{C3380CC4-5D6E-409C-BE32-E72D297353CC}">
              <c16:uniqueId val="{00000000-79DE-471E-8797-350AFF8A5C68}"/>
            </c:ext>
          </c:extLst>
        </c:ser>
        <c:ser>
          <c:idx val="1"/>
          <c:order val="1"/>
          <c:tx>
            <c:strRef>
              <c:f>Sheet1!$C$2</c:f>
              <c:strCache>
                <c:ptCount val="1"/>
                <c:pt idx="0">
                  <c:v>Women</c:v>
                </c:pt>
              </c:strCache>
            </c:strRef>
          </c:tx>
          <c:spPr>
            <a:solidFill>
              <a:schemeClr val="accent2"/>
            </a:solidFill>
            <a:ln>
              <a:noFill/>
            </a:ln>
            <a:effectLst/>
          </c:spPr>
          <c:invertIfNegative val="0"/>
          <c:cat>
            <c:strRef>
              <c:f>Sheet1!$A$3:$A$9</c:f>
              <c:strCache>
                <c:ptCount val="7"/>
                <c:pt idx="0">
                  <c:v>0-14</c:v>
                </c:pt>
                <c:pt idx="1">
                  <c:v>15-24</c:v>
                </c:pt>
                <c:pt idx="2">
                  <c:v>25-34</c:v>
                </c:pt>
                <c:pt idx="3">
                  <c:v>35-44</c:v>
                </c:pt>
                <c:pt idx="4">
                  <c:v>45-54</c:v>
                </c:pt>
                <c:pt idx="5">
                  <c:v>55-64</c:v>
                </c:pt>
                <c:pt idx="6">
                  <c:v>65+</c:v>
                </c:pt>
              </c:strCache>
            </c:strRef>
          </c:cat>
          <c:val>
            <c:numRef>
              <c:f>Sheet1!$C$3:$C$9</c:f>
              <c:numCache>
                <c:formatCode>General</c:formatCode>
                <c:ptCount val="7"/>
                <c:pt idx="0">
                  <c:v>4.3</c:v>
                </c:pt>
                <c:pt idx="1">
                  <c:v>7.6</c:v>
                </c:pt>
                <c:pt idx="2">
                  <c:v>5.8</c:v>
                </c:pt>
                <c:pt idx="3">
                  <c:v>8.5</c:v>
                </c:pt>
                <c:pt idx="4">
                  <c:v>12.4</c:v>
                </c:pt>
                <c:pt idx="5">
                  <c:v>19.3</c:v>
                </c:pt>
                <c:pt idx="6">
                  <c:v>44.8</c:v>
                </c:pt>
              </c:numCache>
            </c:numRef>
          </c:val>
          <c:extLst>
            <c:ext xmlns:c16="http://schemas.microsoft.com/office/drawing/2014/chart" uri="{C3380CC4-5D6E-409C-BE32-E72D297353CC}">
              <c16:uniqueId val="{00000001-79DE-471E-8797-350AFF8A5C68}"/>
            </c:ext>
          </c:extLst>
        </c:ser>
        <c:dLbls>
          <c:showLegendKey val="0"/>
          <c:showVal val="0"/>
          <c:showCatName val="0"/>
          <c:showSerName val="0"/>
          <c:showPercent val="0"/>
          <c:showBubbleSize val="0"/>
        </c:dLbls>
        <c:gapWidth val="219"/>
        <c:overlap val="-27"/>
        <c:axId val="561784856"/>
        <c:axId val="561782888"/>
      </c:barChart>
      <c:catAx>
        <c:axId val="561784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range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782888"/>
        <c:crosses val="autoZero"/>
        <c:auto val="1"/>
        <c:lblAlgn val="ctr"/>
        <c:lblOffset val="100"/>
        <c:noMultiLvlLbl val="0"/>
      </c:catAx>
      <c:valAx>
        <c:axId val="561782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a:t>
                </a:r>
                <a:r>
                  <a:rPr lang="en-US" sz="1000" b="0" i="0" u="none" strike="noStrike" kern="1200" baseline="0">
                    <a:solidFill>
                      <a:sysClr val="windowText" lastClr="000000">
                        <a:lumMod val="65000"/>
                        <a:lumOff val="35000"/>
                      </a:sysClr>
                    </a:solidFill>
                    <a:latin typeface="+mn-lt"/>
                    <a:ea typeface="+mn-ea"/>
                    <a:cs typeface="+mn-cs"/>
                  </a:rPr>
                  <a:t>per cent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784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4">
  <a:schemeClr val="accent4"/>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0.6892</cdr:x>
      <cdr:y>0.41431</cdr:y>
    </cdr:from>
    <cdr:to>
      <cdr:x>0.93946</cdr:x>
      <cdr:y>0.60732</cdr:y>
    </cdr:to>
    <cdr:sp macro="" textlink="">
      <cdr:nvSpPr>
        <cdr:cNvPr id="2" name="TextBox 1">
          <a:extLst xmlns:a="http://schemas.openxmlformats.org/drawingml/2006/main">
            <a:ext uri="{FF2B5EF4-FFF2-40B4-BE49-F238E27FC236}">
              <a16:creationId xmlns:a16="http://schemas.microsoft.com/office/drawing/2014/main" id="{C101C6A5-0A52-4CC6-9C8B-319E00F04D1F}"/>
            </a:ext>
          </a:extLst>
        </cdr:cNvPr>
        <cdr:cNvSpPr txBox="1"/>
      </cdr:nvSpPr>
      <cdr:spPr>
        <a:xfrm xmlns:a="http://schemas.openxmlformats.org/drawingml/2006/main">
          <a:off x="3252789" y="1185864"/>
          <a:ext cx="1181100" cy="552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latin typeface="Circular Std Book" panose="020B0604020101020102" pitchFamily="34" charset="0"/>
              <a:cs typeface="Circular Std Book" panose="020B0604020101020102" pitchFamily="34" charset="0"/>
            </a:rPr>
            <a:t>Pokies closed since 16 March 2020</a:t>
          </a:r>
          <a:r>
            <a:rPr lang="en-AU" sz="900" baseline="0">
              <a:latin typeface="Circular Std Book" panose="020B0604020101020102" pitchFamily="34" charset="0"/>
              <a:cs typeface="Circular Std Book" panose="020B0604020101020102" pitchFamily="34" charset="0"/>
            </a:rPr>
            <a:t> due to COVID19</a:t>
          </a:r>
          <a:endParaRPr lang="en-AU" sz="900">
            <a:latin typeface="Circular Std Book" panose="020B0604020101020102" pitchFamily="34" charset="0"/>
            <a:cs typeface="Circular Std Book" panose="020B0604020101020102"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5FEDB-1427-41EE-A95D-54881CCD7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18190</Words>
  <Characters>103686</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Moonee Valley Health Profile 2020</vt:lpstr>
    </vt:vector>
  </TitlesOfParts>
  <Company>City of Moonee Valley</Company>
  <LinksUpToDate>false</LinksUpToDate>
  <CharactersWithSpaces>121633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Moonee Valley Health Profile 2020</dc:title>
  <dc:subject/>
  <dc:creator>add artwork and council logo</dc:creator>
  <cp:keywords/>
  <dc:description/>
  <cp:lastModifiedBy>Nadine Ford</cp:lastModifiedBy>
  <cp:revision>2</cp:revision>
  <dcterms:created xsi:type="dcterms:W3CDTF">2021-08-25T05:16:00Z</dcterms:created>
  <dcterms:modified xsi:type="dcterms:W3CDTF">2021-08-25T05:16:00Z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subtitle">
    <vt:lpwstr>Indigenous language title</vt:lpwstr>
  </property>
</Properties>
</file>